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28C32" w14:textId="77777777" w:rsidR="00385BD4" w:rsidRDefault="00C6166A">
      <w:pPr>
        <w:pStyle w:val="Corpotesto"/>
        <w:rPr>
          <w:color w:val="0000FF"/>
          <w:sz w:val="36"/>
          <w:szCs w:val="36"/>
          <w:u w:color="0000FF"/>
        </w:rPr>
      </w:pPr>
      <w:r>
        <w:rPr>
          <w:b/>
          <w:bCs/>
          <w:color w:val="0000FF"/>
          <w:sz w:val="36"/>
          <w:szCs w:val="36"/>
          <w:u w:color="0000FF"/>
        </w:rPr>
        <w:t>Capitolo XI</w:t>
      </w:r>
    </w:p>
    <w:p w14:paraId="16292FCF" w14:textId="77777777" w:rsidR="00385BD4" w:rsidRDefault="00385BD4">
      <w:pPr>
        <w:pStyle w:val="Corpotesto"/>
        <w:rPr>
          <w:color w:val="0070C0"/>
          <w:u w:color="0070C0"/>
        </w:rPr>
      </w:pPr>
    </w:p>
    <w:p w14:paraId="451BE347" w14:textId="77777777" w:rsidR="00385BD4" w:rsidRDefault="00D307B4">
      <w:pPr>
        <w:pStyle w:val="Corpotesto"/>
        <w:rPr>
          <w:b/>
          <w:bCs/>
          <w:color w:val="0000FF"/>
          <w:sz w:val="36"/>
          <w:szCs w:val="36"/>
          <w:u w:color="0000FF"/>
        </w:rPr>
      </w:pPr>
      <w:r>
        <w:rPr>
          <w:b/>
          <w:bCs/>
          <w:color w:val="0000FF"/>
          <w:sz w:val="36"/>
          <w:szCs w:val="36"/>
          <w:u w:color="0000FF"/>
        </w:rPr>
        <w:t>Reti Transeuropee</w:t>
      </w:r>
      <w:r w:rsidR="00E562AD">
        <w:rPr>
          <w:b/>
          <w:bCs/>
          <w:color w:val="0000FF"/>
          <w:sz w:val="36"/>
          <w:szCs w:val="36"/>
          <w:u w:color="0000FF"/>
        </w:rPr>
        <w:t xml:space="preserve"> di Trasporto</w:t>
      </w:r>
      <w:r w:rsidR="00C6166A">
        <w:rPr>
          <w:b/>
          <w:bCs/>
          <w:color w:val="0000FF"/>
          <w:sz w:val="36"/>
          <w:szCs w:val="36"/>
          <w:u w:color="0000FF"/>
        </w:rPr>
        <w:t xml:space="preserve"> (TEN-T)</w:t>
      </w:r>
    </w:p>
    <w:p w14:paraId="59EAF4C8" w14:textId="77777777" w:rsidR="00385BD4" w:rsidRDefault="00385BD4">
      <w:pPr>
        <w:jc w:val="both"/>
      </w:pPr>
    </w:p>
    <w:p w14:paraId="25BD7C44" w14:textId="77777777" w:rsidR="00684E2E" w:rsidRDefault="00684E2E">
      <w:pPr>
        <w:jc w:val="both"/>
      </w:pPr>
    </w:p>
    <w:p w14:paraId="71550DD9" w14:textId="77777777" w:rsidR="00644727" w:rsidRDefault="00644727">
      <w:pPr>
        <w:jc w:val="both"/>
      </w:pPr>
    </w:p>
    <w:p w14:paraId="6701332B" w14:textId="77777777" w:rsidR="00385BD4" w:rsidRPr="003479AB" w:rsidRDefault="00F8115A">
      <w:pPr>
        <w:ind w:firstLine="708"/>
        <w:jc w:val="both"/>
        <w:rPr>
          <w:i/>
          <w:iCs/>
          <w:color w:val="auto"/>
        </w:rPr>
      </w:pPr>
      <w:r>
        <w:rPr>
          <w:i/>
          <w:iCs/>
        </w:rPr>
        <w:t xml:space="preserve">Nel </w:t>
      </w:r>
      <w:proofErr w:type="gramStart"/>
      <w:r w:rsidR="00C6166A" w:rsidRPr="00787FDD">
        <w:rPr>
          <w:i/>
          <w:iCs/>
        </w:rPr>
        <w:t>Capitolo</w:t>
      </w:r>
      <w:r w:rsidR="00E9537E" w:rsidRPr="003479AB">
        <w:rPr>
          <w:i/>
          <w:iCs/>
          <w:color w:val="auto"/>
          <w:sz w:val="22"/>
          <w:vertAlign w:val="superscript"/>
        </w:rPr>
        <w:t>(</w:t>
      </w:r>
      <w:proofErr w:type="gramEnd"/>
      <w:r w:rsidR="00F31C86" w:rsidRPr="003479AB">
        <w:rPr>
          <w:rFonts w:eastAsia="Times New Roman" w:cs="Times New Roman"/>
          <w:color w:val="auto"/>
          <w:sz w:val="22"/>
          <w:szCs w:val="36"/>
          <w:u w:color="0000FF"/>
          <w:vertAlign w:val="superscript"/>
        </w:rPr>
        <w:footnoteReference w:id="2"/>
      </w:r>
      <w:r w:rsidR="00E9537E" w:rsidRPr="003479AB">
        <w:rPr>
          <w:i/>
          <w:iCs/>
          <w:color w:val="auto"/>
          <w:sz w:val="22"/>
          <w:vertAlign w:val="superscript"/>
        </w:rPr>
        <w:t>)</w:t>
      </w:r>
      <w:r w:rsidR="00C6166A" w:rsidRPr="003479AB">
        <w:rPr>
          <w:i/>
          <w:iCs/>
          <w:color w:val="auto"/>
        </w:rPr>
        <w:t xml:space="preserve"> si illustra lo stato di avanzamento dei progetti delle infrastrutture di trasporto finanziati con fondi TEN-T relativi </w:t>
      </w:r>
      <w:r w:rsidR="005B023D" w:rsidRPr="003479AB">
        <w:rPr>
          <w:i/>
          <w:iCs/>
          <w:color w:val="auto"/>
        </w:rPr>
        <w:t>alla</w:t>
      </w:r>
      <w:r w:rsidR="00C6166A" w:rsidRPr="003479AB">
        <w:rPr>
          <w:i/>
          <w:iCs/>
          <w:color w:val="auto"/>
        </w:rPr>
        <w:t xml:space="preserve"> </w:t>
      </w:r>
      <w:r w:rsidR="005B023D" w:rsidRPr="003479AB">
        <w:rPr>
          <w:i/>
          <w:iCs/>
          <w:color w:val="auto"/>
        </w:rPr>
        <w:t>P</w:t>
      </w:r>
      <w:r w:rsidR="00C6166A" w:rsidRPr="003479AB">
        <w:rPr>
          <w:i/>
          <w:iCs/>
          <w:color w:val="auto"/>
        </w:rPr>
        <w:t>rogrammazione 2014-2020</w:t>
      </w:r>
      <w:r w:rsidR="005B023D" w:rsidRPr="003479AB">
        <w:rPr>
          <w:i/>
          <w:iCs/>
          <w:color w:val="auto"/>
        </w:rPr>
        <w:t xml:space="preserve">, </w:t>
      </w:r>
      <w:r w:rsidR="00C6166A" w:rsidRPr="003479AB">
        <w:rPr>
          <w:i/>
          <w:iCs/>
          <w:color w:val="auto"/>
        </w:rPr>
        <w:t>prolungat</w:t>
      </w:r>
      <w:r w:rsidR="005B023D" w:rsidRPr="003479AB">
        <w:rPr>
          <w:i/>
          <w:iCs/>
          <w:color w:val="auto"/>
        </w:rPr>
        <w:t>a</w:t>
      </w:r>
      <w:r w:rsidR="00C6166A" w:rsidRPr="003479AB">
        <w:rPr>
          <w:i/>
          <w:iCs/>
          <w:color w:val="auto"/>
        </w:rPr>
        <w:t xml:space="preserve"> </w:t>
      </w:r>
      <w:r w:rsidR="005B023D" w:rsidRPr="003479AB">
        <w:rPr>
          <w:i/>
          <w:iCs/>
          <w:color w:val="auto"/>
        </w:rPr>
        <w:t xml:space="preserve">fino </w:t>
      </w:r>
      <w:r w:rsidR="00C6166A" w:rsidRPr="003479AB">
        <w:rPr>
          <w:i/>
          <w:iCs/>
          <w:color w:val="auto"/>
        </w:rPr>
        <w:t>al 2023</w:t>
      </w:r>
      <w:r w:rsidR="005B023D" w:rsidRPr="003479AB">
        <w:rPr>
          <w:i/>
          <w:iCs/>
          <w:color w:val="auto"/>
        </w:rPr>
        <w:t>,</w:t>
      </w:r>
      <w:r w:rsidR="00C6166A" w:rsidRPr="003479AB">
        <w:rPr>
          <w:i/>
          <w:iCs/>
          <w:color w:val="auto"/>
        </w:rPr>
        <w:t xml:space="preserve"> nell’ambito del programma </w:t>
      </w:r>
      <w:proofErr w:type="spellStart"/>
      <w:r w:rsidR="00C6166A" w:rsidRPr="003479AB">
        <w:rPr>
          <w:i/>
          <w:iCs/>
          <w:color w:val="auto"/>
        </w:rPr>
        <w:t>Connecting</w:t>
      </w:r>
      <w:proofErr w:type="spellEnd"/>
      <w:r w:rsidR="00C6166A" w:rsidRPr="003479AB">
        <w:rPr>
          <w:i/>
          <w:iCs/>
          <w:color w:val="auto"/>
        </w:rPr>
        <w:t xml:space="preserve"> Europe Facility (CEF). </w:t>
      </w:r>
    </w:p>
    <w:p w14:paraId="3414E3D8" w14:textId="77777777" w:rsidR="005B023D" w:rsidRPr="003479AB" w:rsidRDefault="00C6166A">
      <w:pPr>
        <w:ind w:firstLine="708"/>
        <w:jc w:val="both"/>
        <w:rPr>
          <w:i/>
          <w:iCs/>
          <w:color w:val="auto"/>
        </w:rPr>
      </w:pPr>
      <w:r w:rsidRPr="003479AB">
        <w:rPr>
          <w:i/>
          <w:iCs/>
          <w:color w:val="auto"/>
        </w:rPr>
        <w:t xml:space="preserve">Inoltre, si forniscono elementi circa le attività </w:t>
      </w:r>
      <w:r w:rsidR="005B023D" w:rsidRPr="003479AB">
        <w:rPr>
          <w:i/>
          <w:iCs/>
          <w:color w:val="auto"/>
        </w:rPr>
        <w:t>svolte e in corso di svolgimento</w:t>
      </w:r>
      <w:r w:rsidRPr="003479AB">
        <w:rPr>
          <w:i/>
          <w:iCs/>
          <w:color w:val="auto"/>
        </w:rPr>
        <w:t xml:space="preserve"> a seguito dei bandi CEF pubblicati dalla </w:t>
      </w:r>
      <w:r w:rsidR="000E1C97" w:rsidRPr="003479AB">
        <w:rPr>
          <w:i/>
          <w:iCs/>
          <w:color w:val="auto"/>
        </w:rPr>
        <w:t>Commissione Europea</w:t>
      </w:r>
      <w:r w:rsidRPr="003479AB">
        <w:rPr>
          <w:i/>
          <w:iCs/>
          <w:color w:val="auto"/>
        </w:rPr>
        <w:t xml:space="preserve"> </w:t>
      </w:r>
      <w:r w:rsidR="005B023D" w:rsidRPr="003479AB">
        <w:rPr>
          <w:i/>
          <w:iCs/>
          <w:color w:val="auto"/>
        </w:rPr>
        <w:t xml:space="preserve">nonché le </w:t>
      </w:r>
      <w:r w:rsidRPr="003479AB">
        <w:rPr>
          <w:i/>
          <w:iCs/>
          <w:color w:val="auto"/>
        </w:rPr>
        <w:t>informazioni relative ai piani di lavoro dei Corridoi e delle priorità orizzontali ERTMS</w:t>
      </w:r>
      <w:r w:rsidR="005B023D" w:rsidRPr="003479AB">
        <w:rPr>
          <w:i/>
          <w:iCs/>
          <w:color w:val="auto"/>
        </w:rPr>
        <w:t xml:space="preserve"> (</w:t>
      </w:r>
      <w:proofErr w:type="spellStart"/>
      <w:r w:rsidR="005B023D" w:rsidRPr="003479AB">
        <w:rPr>
          <w:i/>
          <w:iCs/>
          <w:color w:val="auto"/>
        </w:rPr>
        <w:t>European</w:t>
      </w:r>
      <w:proofErr w:type="spellEnd"/>
      <w:r w:rsidR="005B023D" w:rsidRPr="003479AB">
        <w:rPr>
          <w:i/>
          <w:iCs/>
          <w:color w:val="auto"/>
        </w:rPr>
        <w:t xml:space="preserve"> </w:t>
      </w:r>
      <w:proofErr w:type="spellStart"/>
      <w:r w:rsidR="005B023D" w:rsidRPr="003479AB">
        <w:rPr>
          <w:i/>
          <w:iCs/>
          <w:color w:val="auto"/>
        </w:rPr>
        <w:t>Rail</w:t>
      </w:r>
      <w:proofErr w:type="spellEnd"/>
      <w:r w:rsidR="00B76C6E" w:rsidRPr="003479AB">
        <w:rPr>
          <w:i/>
          <w:iCs/>
          <w:color w:val="auto"/>
        </w:rPr>
        <w:t xml:space="preserve"> </w:t>
      </w:r>
      <w:r w:rsidR="005B023D" w:rsidRPr="003479AB">
        <w:rPr>
          <w:i/>
          <w:iCs/>
          <w:color w:val="auto"/>
        </w:rPr>
        <w:t>Traffic Management System)</w:t>
      </w:r>
      <w:r w:rsidRPr="003479AB">
        <w:rPr>
          <w:i/>
          <w:iCs/>
          <w:color w:val="auto"/>
        </w:rPr>
        <w:t xml:space="preserve"> e MOS</w:t>
      </w:r>
      <w:r w:rsidR="005B023D" w:rsidRPr="003479AB">
        <w:rPr>
          <w:i/>
          <w:iCs/>
          <w:color w:val="auto"/>
        </w:rPr>
        <w:t xml:space="preserve"> (</w:t>
      </w:r>
      <w:proofErr w:type="spellStart"/>
      <w:r w:rsidR="005B023D" w:rsidRPr="003479AB">
        <w:rPr>
          <w:i/>
          <w:iCs/>
          <w:color w:val="auto"/>
        </w:rPr>
        <w:t>Motorways</w:t>
      </w:r>
      <w:proofErr w:type="spellEnd"/>
      <w:r w:rsidR="005B023D" w:rsidRPr="003479AB">
        <w:rPr>
          <w:i/>
          <w:iCs/>
          <w:color w:val="auto"/>
        </w:rPr>
        <w:t xml:space="preserve"> of the Sea)</w:t>
      </w:r>
      <w:r w:rsidR="008D573F" w:rsidRPr="003479AB">
        <w:rPr>
          <w:i/>
          <w:iCs/>
          <w:color w:val="auto"/>
        </w:rPr>
        <w:t>.</w:t>
      </w:r>
    </w:p>
    <w:p w14:paraId="2075AC8A" w14:textId="77777777" w:rsidR="00385BD4" w:rsidRPr="003479AB" w:rsidRDefault="00C6166A">
      <w:pPr>
        <w:ind w:firstLine="708"/>
        <w:jc w:val="both"/>
        <w:rPr>
          <w:i/>
          <w:iCs/>
          <w:color w:val="auto"/>
        </w:rPr>
      </w:pPr>
      <w:r w:rsidRPr="003479AB">
        <w:rPr>
          <w:i/>
          <w:iCs/>
          <w:color w:val="auto"/>
        </w:rPr>
        <w:t xml:space="preserve">Nel documento allegato al Conto, denominato “Approfondimenti Reti TEN-T”, sono </w:t>
      </w:r>
      <w:r w:rsidR="005B023D" w:rsidRPr="003479AB">
        <w:rPr>
          <w:i/>
          <w:iCs/>
          <w:color w:val="auto"/>
        </w:rPr>
        <w:t>riportate</w:t>
      </w:r>
      <w:r w:rsidRPr="003479AB">
        <w:rPr>
          <w:i/>
          <w:iCs/>
          <w:color w:val="auto"/>
        </w:rPr>
        <w:t xml:space="preserve"> informazioni </w:t>
      </w:r>
      <w:r w:rsidR="005B023D" w:rsidRPr="003479AB">
        <w:rPr>
          <w:i/>
          <w:iCs/>
          <w:color w:val="auto"/>
        </w:rPr>
        <w:t xml:space="preserve">inerenti </w:t>
      </w:r>
      <w:proofErr w:type="gramStart"/>
      <w:r w:rsidR="005B023D" w:rsidRPr="003479AB">
        <w:rPr>
          <w:i/>
          <w:iCs/>
          <w:color w:val="auto"/>
        </w:rPr>
        <w:t>i</w:t>
      </w:r>
      <w:proofErr w:type="gramEnd"/>
      <w:r w:rsidRPr="003479AB">
        <w:rPr>
          <w:i/>
          <w:iCs/>
          <w:color w:val="auto"/>
        </w:rPr>
        <w:t xml:space="preserve"> Regolamenti europei in materia di </w:t>
      </w:r>
      <w:r w:rsidR="00D307B4" w:rsidRPr="003479AB">
        <w:rPr>
          <w:i/>
          <w:iCs/>
          <w:color w:val="auto"/>
        </w:rPr>
        <w:t>Reti Transeuropee</w:t>
      </w:r>
      <w:r w:rsidRPr="003479AB">
        <w:rPr>
          <w:i/>
          <w:iCs/>
          <w:color w:val="auto"/>
        </w:rPr>
        <w:t xml:space="preserve"> </w:t>
      </w:r>
      <w:r w:rsidR="005B023D" w:rsidRPr="003479AB">
        <w:rPr>
          <w:i/>
          <w:iCs/>
          <w:color w:val="auto"/>
        </w:rPr>
        <w:t xml:space="preserve">di Trasporto (TEN-T) </w:t>
      </w:r>
      <w:r w:rsidRPr="003479AB">
        <w:rPr>
          <w:i/>
          <w:iCs/>
          <w:color w:val="auto"/>
        </w:rPr>
        <w:t>e</w:t>
      </w:r>
      <w:r w:rsidR="005B023D" w:rsidRPr="003479AB">
        <w:rPr>
          <w:i/>
          <w:iCs/>
          <w:color w:val="auto"/>
        </w:rPr>
        <w:t>d</w:t>
      </w:r>
      <w:r w:rsidRPr="003479AB">
        <w:rPr>
          <w:i/>
          <w:iCs/>
          <w:color w:val="auto"/>
        </w:rPr>
        <w:t xml:space="preserve"> approfondimenti statistici </w:t>
      </w:r>
      <w:r w:rsidR="005B023D" w:rsidRPr="003479AB">
        <w:rPr>
          <w:i/>
          <w:iCs/>
          <w:color w:val="auto"/>
        </w:rPr>
        <w:t>relativi ai</w:t>
      </w:r>
      <w:r w:rsidRPr="003479AB">
        <w:rPr>
          <w:i/>
          <w:iCs/>
          <w:color w:val="auto"/>
        </w:rPr>
        <w:t xml:space="preserve"> progetti co-finanziati.</w:t>
      </w:r>
    </w:p>
    <w:p w14:paraId="5D68E028" w14:textId="77777777" w:rsidR="0037642B" w:rsidRPr="003479AB" w:rsidRDefault="0037642B">
      <w:pPr>
        <w:jc w:val="both"/>
        <w:rPr>
          <w:color w:val="auto"/>
        </w:rPr>
      </w:pPr>
    </w:p>
    <w:p w14:paraId="1B6C36F3" w14:textId="77777777" w:rsidR="00C5780C" w:rsidRPr="003479AB" w:rsidRDefault="00C5780C">
      <w:pPr>
        <w:jc w:val="both"/>
        <w:rPr>
          <w:color w:val="auto"/>
        </w:rPr>
      </w:pPr>
    </w:p>
    <w:p w14:paraId="2184C8A5" w14:textId="77777777" w:rsidR="00385BD4" w:rsidRPr="003479AB" w:rsidRDefault="00C6166A">
      <w:pPr>
        <w:jc w:val="both"/>
        <w:rPr>
          <w:b/>
          <w:bCs/>
          <w:color w:val="auto"/>
        </w:rPr>
      </w:pPr>
      <w:r w:rsidRPr="003479AB">
        <w:rPr>
          <w:b/>
          <w:bCs/>
          <w:color w:val="auto"/>
        </w:rPr>
        <w:t xml:space="preserve">XI.1 </w:t>
      </w:r>
      <w:r w:rsidR="00684E2E" w:rsidRPr="003479AB">
        <w:rPr>
          <w:b/>
          <w:bCs/>
          <w:color w:val="auto"/>
        </w:rPr>
        <w:t>-</w:t>
      </w:r>
      <w:r w:rsidRPr="003479AB">
        <w:rPr>
          <w:b/>
          <w:bCs/>
          <w:color w:val="auto"/>
        </w:rPr>
        <w:t xml:space="preserve"> </w:t>
      </w:r>
      <w:r w:rsidR="00D307B4" w:rsidRPr="003479AB">
        <w:rPr>
          <w:b/>
          <w:bCs/>
          <w:color w:val="auto"/>
        </w:rPr>
        <w:t>Reti Transeuropee</w:t>
      </w:r>
      <w:r w:rsidR="00E562AD" w:rsidRPr="003479AB">
        <w:rPr>
          <w:b/>
          <w:bCs/>
          <w:color w:val="auto"/>
        </w:rPr>
        <w:t xml:space="preserve"> </w:t>
      </w:r>
      <w:r w:rsidR="00E60BCF" w:rsidRPr="003479AB">
        <w:rPr>
          <w:b/>
          <w:bCs/>
          <w:color w:val="auto"/>
        </w:rPr>
        <w:t>di Trasporto - O</w:t>
      </w:r>
      <w:r w:rsidR="00E562AD" w:rsidRPr="003479AB">
        <w:rPr>
          <w:b/>
          <w:bCs/>
          <w:color w:val="auto"/>
        </w:rPr>
        <w:t>rigini, obiettivi e normativa di riferimento</w:t>
      </w:r>
    </w:p>
    <w:p w14:paraId="7E12168A" w14:textId="77777777" w:rsidR="0037642B" w:rsidRPr="003479AB" w:rsidRDefault="0037642B">
      <w:pPr>
        <w:jc w:val="both"/>
        <w:rPr>
          <w:b/>
          <w:bCs/>
          <w:color w:val="auto"/>
        </w:rPr>
      </w:pPr>
    </w:p>
    <w:p w14:paraId="16F7999B" w14:textId="77777777" w:rsidR="00385BD4" w:rsidRPr="003479AB" w:rsidRDefault="00C6166A">
      <w:pPr>
        <w:ind w:firstLine="708"/>
        <w:jc w:val="both"/>
        <w:rPr>
          <w:color w:val="auto"/>
        </w:rPr>
      </w:pPr>
      <w:r w:rsidRPr="003479AB">
        <w:rPr>
          <w:color w:val="auto"/>
        </w:rPr>
        <w:t>La costituzione e lo sviluppo d</w:t>
      </w:r>
      <w:r w:rsidR="00252A4A" w:rsidRPr="003479AB">
        <w:rPr>
          <w:color w:val="auto"/>
        </w:rPr>
        <w:t>elle</w:t>
      </w:r>
      <w:r w:rsidRPr="003479AB">
        <w:rPr>
          <w:color w:val="auto"/>
        </w:rPr>
        <w:t xml:space="preserve"> </w:t>
      </w:r>
      <w:r w:rsidR="00D307B4" w:rsidRPr="003479AB">
        <w:rPr>
          <w:color w:val="auto"/>
        </w:rPr>
        <w:t>Reti Transeuropee</w:t>
      </w:r>
      <w:r w:rsidRPr="003479AB">
        <w:rPr>
          <w:color w:val="auto"/>
        </w:rPr>
        <w:t xml:space="preserve"> di Trasport</w:t>
      </w:r>
      <w:r w:rsidR="005B023D" w:rsidRPr="003479AB">
        <w:rPr>
          <w:color w:val="auto"/>
        </w:rPr>
        <w:t>o</w:t>
      </w:r>
      <w:r w:rsidRPr="003479AB">
        <w:rPr>
          <w:color w:val="auto"/>
        </w:rPr>
        <w:t xml:space="preserve"> (di seguito Ret</w:t>
      </w:r>
      <w:r w:rsidR="00252A4A" w:rsidRPr="003479AB">
        <w:rPr>
          <w:color w:val="auto"/>
        </w:rPr>
        <w:t>i</w:t>
      </w:r>
      <w:r w:rsidR="00B76C6E" w:rsidRPr="003479AB">
        <w:rPr>
          <w:color w:val="auto"/>
        </w:rPr>
        <w:t xml:space="preserve"> </w:t>
      </w:r>
      <w:r w:rsidRPr="003479AB">
        <w:rPr>
          <w:color w:val="auto"/>
        </w:rPr>
        <w:t>TEN-T) ha rappresentato e tuttora rappresenta uno degli elementi unificanti dell’</w:t>
      </w:r>
      <w:r w:rsidR="00F25599" w:rsidRPr="003479AB">
        <w:rPr>
          <w:color w:val="auto"/>
        </w:rPr>
        <w:t>Unione Europea</w:t>
      </w:r>
      <w:r w:rsidRPr="003479AB">
        <w:rPr>
          <w:color w:val="auto"/>
        </w:rPr>
        <w:t xml:space="preserve">, poiché in grado di contribuire </w:t>
      </w:r>
      <w:r w:rsidR="00E51C73" w:rsidRPr="003479AB">
        <w:rPr>
          <w:color w:val="auto"/>
        </w:rPr>
        <w:t xml:space="preserve">ad una politica dei trasporti competitiva e sostenibile, al buon funzionamento del mercato interno ed al rafforzamento della coesione economica, sociale e territoriale. Esse perseguono, tra gli altri, anche obiettivi specifici </w:t>
      </w:r>
      <w:r w:rsidR="00583E96" w:rsidRPr="003479AB">
        <w:rPr>
          <w:color w:val="auto"/>
        </w:rPr>
        <w:t xml:space="preserve">atti a </w:t>
      </w:r>
      <w:r w:rsidR="00E51C73" w:rsidRPr="003479AB">
        <w:rPr>
          <w:color w:val="auto"/>
        </w:rPr>
        <w:t xml:space="preserve">consentire </w:t>
      </w:r>
      <w:r w:rsidR="00583E96" w:rsidRPr="003479AB">
        <w:rPr>
          <w:color w:val="auto"/>
        </w:rPr>
        <w:t>una</w:t>
      </w:r>
      <w:r w:rsidR="00E51C73" w:rsidRPr="003479AB">
        <w:rPr>
          <w:color w:val="auto"/>
        </w:rPr>
        <w:t xml:space="preserve"> mobilità senza ostacoli, sicura e sostenibile </w:t>
      </w:r>
      <w:r w:rsidR="00583E96" w:rsidRPr="003479AB">
        <w:rPr>
          <w:color w:val="auto"/>
        </w:rPr>
        <w:t xml:space="preserve">di </w:t>
      </w:r>
      <w:r w:rsidR="00E51C73" w:rsidRPr="003479AB">
        <w:rPr>
          <w:color w:val="auto"/>
        </w:rPr>
        <w:t xml:space="preserve">persone e merci </w:t>
      </w:r>
      <w:r w:rsidR="00583E96" w:rsidRPr="003479AB">
        <w:rPr>
          <w:color w:val="auto"/>
        </w:rPr>
        <w:t xml:space="preserve">nonché </w:t>
      </w:r>
      <w:r w:rsidR="00E51C73" w:rsidRPr="003479AB">
        <w:rPr>
          <w:color w:val="auto"/>
        </w:rPr>
        <w:t xml:space="preserve">di </w:t>
      </w:r>
      <w:r w:rsidR="00583E96" w:rsidRPr="003479AB">
        <w:rPr>
          <w:color w:val="auto"/>
        </w:rPr>
        <w:t xml:space="preserve">favorire </w:t>
      </w:r>
      <w:r w:rsidR="00E26B8F" w:rsidRPr="003479AB">
        <w:rPr>
          <w:color w:val="auto"/>
        </w:rPr>
        <w:t>l’</w:t>
      </w:r>
      <w:r w:rsidR="00E51C73" w:rsidRPr="003479AB">
        <w:rPr>
          <w:color w:val="auto"/>
        </w:rPr>
        <w:t xml:space="preserve">accessibilità e la connettività </w:t>
      </w:r>
      <w:r w:rsidR="00583E96" w:rsidRPr="003479AB">
        <w:rPr>
          <w:color w:val="auto"/>
        </w:rPr>
        <w:t>per</w:t>
      </w:r>
      <w:r w:rsidR="00E51C73" w:rsidRPr="003479AB">
        <w:rPr>
          <w:color w:val="auto"/>
        </w:rPr>
        <w:t xml:space="preserve"> tutte le regioni dell'Unione, contribuendo all'ulteriore crescita economica e alla competitività in una prospettiva globale. Tali obiettivi specifici dovrebbero essere raggiunti stabilendo interconnessioni e interoperabilità tra reti di trasporto nazionali in modo efficiente e sostenibile. L</w:t>
      </w:r>
      <w:r w:rsidR="005B023D" w:rsidRPr="003479AB">
        <w:rPr>
          <w:color w:val="auto"/>
        </w:rPr>
        <w:t xml:space="preserve">'Unione ha </w:t>
      </w:r>
      <w:r w:rsidR="00E51C73" w:rsidRPr="003479AB">
        <w:rPr>
          <w:color w:val="auto"/>
        </w:rPr>
        <w:t xml:space="preserve">infatti </w:t>
      </w:r>
      <w:r w:rsidR="005B023D" w:rsidRPr="003479AB">
        <w:rPr>
          <w:color w:val="auto"/>
        </w:rPr>
        <w:t>bisogno di infrastrutture moderne e di elevata efficienza che contribuiscano</w:t>
      </w:r>
      <w:r w:rsidR="00252A4A" w:rsidRPr="003479AB">
        <w:rPr>
          <w:color w:val="auto"/>
        </w:rPr>
        <w:t>, nel settore dei trasporti,</w:t>
      </w:r>
      <w:r w:rsidR="005B023D" w:rsidRPr="003479AB">
        <w:rPr>
          <w:color w:val="auto"/>
        </w:rPr>
        <w:t xml:space="preserve"> all'interconnessione e all'integrazione dell'Unione </w:t>
      </w:r>
      <w:r w:rsidR="00252A4A" w:rsidRPr="003479AB">
        <w:rPr>
          <w:color w:val="auto"/>
        </w:rPr>
        <w:t>con</w:t>
      </w:r>
      <w:r w:rsidR="00E51C73" w:rsidRPr="003479AB">
        <w:rPr>
          <w:color w:val="auto"/>
        </w:rPr>
        <w:t xml:space="preserve"> tutte le sue regioni</w:t>
      </w:r>
      <w:r w:rsidR="005B023D" w:rsidRPr="003479AB">
        <w:rPr>
          <w:color w:val="auto"/>
        </w:rPr>
        <w:t xml:space="preserve"> </w:t>
      </w:r>
      <w:r w:rsidR="00E51C73" w:rsidRPr="003479AB">
        <w:rPr>
          <w:color w:val="auto"/>
        </w:rPr>
        <w:t>e dell’Europa stessa con il resto del mondo</w:t>
      </w:r>
      <w:r w:rsidR="005B023D" w:rsidRPr="003479AB">
        <w:rPr>
          <w:color w:val="auto"/>
        </w:rPr>
        <w:t xml:space="preserve">. Le </w:t>
      </w:r>
      <w:r w:rsidR="00D307B4" w:rsidRPr="003479AB">
        <w:rPr>
          <w:color w:val="auto"/>
        </w:rPr>
        <w:t>Reti Transeuropee</w:t>
      </w:r>
      <w:r w:rsidR="005B023D" w:rsidRPr="003479AB">
        <w:rPr>
          <w:color w:val="auto"/>
        </w:rPr>
        <w:t xml:space="preserve"> </w:t>
      </w:r>
      <w:r w:rsidR="00E51C73" w:rsidRPr="003479AB">
        <w:rPr>
          <w:color w:val="auto"/>
        </w:rPr>
        <w:t>si pongono l’obiettivo</w:t>
      </w:r>
      <w:r w:rsidR="00252A4A" w:rsidRPr="003479AB">
        <w:rPr>
          <w:color w:val="auto"/>
        </w:rPr>
        <w:t>,</w:t>
      </w:r>
      <w:r w:rsidR="00E51C73" w:rsidRPr="003479AB">
        <w:rPr>
          <w:color w:val="auto"/>
        </w:rPr>
        <w:t xml:space="preserve"> altresì</w:t>
      </w:r>
      <w:r w:rsidR="00252A4A" w:rsidRPr="003479AB">
        <w:rPr>
          <w:color w:val="auto"/>
        </w:rPr>
        <w:t>,</w:t>
      </w:r>
      <w:r w:rsidR="00E51C73" w:rsidRPr="003479AB">
        <w:rPr>
          <w:color w:val="auto"/>
        </w:rPr>
        <w:t xml:space="preserve"> di</w:t>
      </w:r>
      <w:r w:rsidR="005B023D" w:rsidRPr="003479AB">
        <w:rPr>
          <w:color w:val="auto"/>
        </w:rPr>
        <w:t xml:space="preserve"> favorire i collegamenti transfrontalieri, promuovere una maggiore coesione economica, sociale e territoriale e contribuire a</w:t>
      </w:r>
      <w:r w:rsidR="00252A4A" w:rsidRPr="003479AB">
        <w:rPr>
          <w:color w:val="auto"/>
        </w:rPr>
        <w:t>d</w:t>
      </w:r>
      <w:r w:rsidR="005B023D" w:rsidRPr="003479AB">
        <w:rPr>
          <w:color w:val="auto"/>
        </w:rPr>
        <w:t xml:space="preserve"> un'economia sociale di mercato più competitiva e alla lotta contro il cambiamento climatico. </w:t>
      </w:r>
    </w:p>
    <w:p w14:paraId="33CC9152" w14:textId="77777777" w:rsidR="00385BD4" w:rsidRPr="003479AB" w:rsidRDefault="00C6166A">
      <w:pPr>
        <w:ind w:firstLine="708"/>
        <w:jc w:val="both"/>
        <w:rPr>
          <w:color w:val="auto"/>
        </w:rPr>
      </w:pPr>
      <w:r w:rsidRPr="003479AB">
        <w:rPr>
          <w:color w:val="auto"/>
        </w:rPr>
        <w:t xml:space="preserve">Con il Trattato di Maastricht (1991) è stato posto come obiettivo centrale lo sviluppo di una rete comune di trasporti tra i 15 </w:t>
      </w:r>
      <w:r w:rsidR="00F25599" w:rsidRPr="003479AB">
        <w:rPr>
          <w:color w:val="auto"/>
        </w:rPr>
        <w:t>Paesi</w:t>
      </w:r>
      <w:r w:rsidRPr="003479AB">
        <w:rPr>
          <w:color w:val="auto"/>
        </w:rPr>
        <w:t xml:space="preserve"> dell’Unione per rafforzare la coesione economica tra gli Stati Membri dell’allora Comunità Europea e, nello stesso a</w:t>
      </w:r>
      <w:r w:rsidR="0069671E" w:rsidRPr="003479AB">
        <w:rPr>
          <w:color w:val="auto"/>
        </w:rPr>
        <w:t>nno, si è svolta la Conferenza P</w:t>
      </w:r>
      <w:r w:rsidRPr="003479AB">
        <w:rPr>
          <w:color w:val="auto"/>
        </w:rPr>
        <w:t>aneuropea di Praga, che ha rappresentato la genesi dei Corridoi europei.</w:t>
      </w:r>
    </w:p>
    <w:p w14:paraId="49EFD19A" w14:textId="77777777" w:rsidR="00385BD4" w:rsidRDefault="00C6166A">
      <w:pPr>
        <w:ind w:firstLine="708"/>
        <w:jc w:val="both"/>
      </w:pPr>
      <w:r w:rsidRPr="003479AB">
        <w:rPr>
          <w:color w:val="auto"/>
        </w:rPr>
        <w:t xml:space="preserve">Tale politica ha visto un ulteriore rafforzamento </w:t>
      </w:r>
      <w:r w:rsidR="008D573F" w:rsidRPr="003479AB">
        <w:rPr>
          <w:color w:val="auto"/>
        </w:rPr>
        <w:t xml:space="preserve">dell’attuazione </w:t>
      </w:r>
      <w:r w:rsidRPr="003479AB">
        <w:rPr>
          <w:color w:val="auto"/>
        </w:rPr>
        <w:t xml:space="preserve">delle reti di trasporto quando, a fine 2013, il Consiglio e il Parlamento Europeo hanno approvato il Regolamento </w:t>
      </w:r>
      <w:r w:rsidR="00BB60C6" w:rsidRPr="003479AB">
        <w:rPr>
          <w:color w:val="auto"/>
        </w:rPr>
        <w:t>(</w:t>
      </w:r>
      <w:r w:rsidR="005B023D" w:rsidRPr="003479AB">
        <w:rPr>
          <w:color w:val="auto"/>
        </w:rPr>
        <w:t>UE</w:t>
      </w:r>
      <w:r w:rsidR="00BB60C6" w:rsidRPr="003479AB">
        <w:rPr>
          <w:color w:val="auto"/>
        </w:rPr>
        <w:t>)</w:t>
      </w:r>
      <w:r w:rsidR="005B023D" w:rsidRPr="003479AB">
        <w:rPr>
          <w:color w:val="auto"/>
        </w:rPr>
        <w:t xml:space="preserve"> n.</w:t>
      </w:r>
      <w:r w:rsidR="00171D9E" w:rsidRPr="003479AB">
        <w:rPr>
          <w:color w:val="auto"/>
        </w:rPr>
        <w:t xml:space="preserve"> </w:t>
      </w:r>
      <w:r w:rsidRPr="003479AB">
        <w:rPr>
          <w:color w:val="auto"/>
        </w:rPr>
        <w:t>1315</w:t>
      </w:r>
      <w:r w:rsidR="005B023D" w:rsidRPr="003479AB">
        <w:rPr>
          <w:color w:val="auto"/>
        </w:rPr>
        <w:t>/2013</w:t>
      </w:r>
      <w:r w:rsidRPr="003479AB">
        <w:rPr>
          <w:color w:val="auto"/>
        </w:rPr>
        <w:t xml:space="preserve"> ed il </w:t>
      </w:r>
      <w:r w:rsidR="00BB60C6" w:rsidRPr="003479AB">
        <w:rPr>
          <w:color w:val="auto"/>
        </w:rPr>
        <w:t xml:space="preserve">Regolamento (UE) </w:t>
      </w:r>
      <w:r w:rsidR="005B023D" w:rsidRPr="003479AB">
        <w:rPr>
          <w:color w:val="auto"/>
        </w:rPr>
        <w:t>n.</w:t>
      </w:r>
      <w:r w:rsidR="00171D9E" w:rsidRPr="003479AB">
        <w:rPr>
          <w:color w:val="auto"/>
        </w:rPr>
        <w:t xml:space="preserve"> </w:t>
      </w:r>
      <w:r w:rsidRPr="003479AB">
        <w:rPr>
          <w:color w:val="auto"/>
        </w:rPr>
        <w:t>1316</w:t>
      </w:r>
      <w:r w:rsidR="005B023D" w:rsidRPr="003479AB">
        <w:rPr>
          <w:color w:val="auto"/>
        </w:rPr>
        <w:t>/2013</w:t>
      </w:r>
      <w:r w:rsidRPr="003479AB">
        <w:rPr>
          <w:color w:val="auto"/>
        </w:rPr>
        <w:t xml:space="preserve"> con i quali, nel primo, si </w:t>
      </w:r>
      <w:r w:rsidR="00371A81" w:rsidRPr="003479AB">
        <w:rPr>
          <w:color w:val="auto"/>
        </w:rPr>
        <w:t>sono stabiliti</w:t>
      </w:r>
      <w:r w:rsidR="00E51C73" w:rsidRPr="003479AB">
        <w:rPr>
          <w:color w:val="auto"/>
        </w:rPr>
        <w:t xml:space="preserve"> gli orientamenti per lo sviluppo </w:t>
      </w:r>
      <w:r w:rsidRPr="003479AB">
        <w:rPr>
          <w:color w:val="auto"/>
        </w:rPr>
        <w:t>della Rete TEN-T,</w:t>
      </w:r>
      <w:r w:rsidR="00E51C73" w:rsidRPr="003479AB">
        <w:rPr>
          <w:color w:val="auto"/>
        </w:rPr>
        <w:t xml:space="preserve"> comprendente una struttura a doppio strato che consiste nella rete globale (rete </w:t>
      </w:r>
      <w:r w:rsidR="0057771F" w:rsidRPr="003479AB">
        <w:rPr>
          <w:i/>
          <w:iCs/>
          <w:color w:val="auto"/>
        </w:rPr>
        <w:t>C</w:t>
      </w:r>
      <w:r w:rsidR="00E51C73" w:rsidRPr="003479AB">
        <w:rPr>
          <w:i/>
          <w:iCs/>
          <w:color w:val="auto"/>
        </w:rPr>
        <w:t>omprehensive</w:t>
      </w:r>
      <w:r w:rsidR="00E51C73" w:rsidRPr="003479AB">
        <w:rPr>
          <w:color w:val="auto"/>
        </w:rPr>
        <w:t xml:space="preserve">) e nella rete centrale (rete </w:t>
      </w:r>
      <w:r w:rsidR="0057771F" w:rsidRPr="003479AB">
        <w:rPr>
          <w:i/>
          <w:iCs/>
          <w:color w:val="auto"/>
        </w:rPr>
        <w:t>C</w:t>
      </w:r>
      <w:r w:rsidR="00E51C73" w:rsidRPr="003479AB">
        <w:rPr>
          <w:i/>
          <w:iCs/>
          <w:color w:val="auto"/>
        </w:rPr>
        <w:t>ore</w:t>
      </w:r>
      <w:r w:rsidR="00E51C73" w:rsidRPr="003479AB">
        <w:rPr>
          <w:color w:val="auto"/>
        </w:rPr>
        <w:t>) di cui quest'ultima</w:t>
      </w:r>
      <w:r w:rsidR="00252A4A" w:rsidRPr="003479AB">
        <w:rPr>
          <w:color w:val="auto"/>
        </w:rPr>
        <w:t>,</w:t>
      </w:r>
      <w:r w:rsidR="00E51C73" w:rsidRPr="003479AB">
        <w:rPr>
          <w:color w:val="auto"/>
        </w:rPr>
        <w:t xml:space="preserve"> </w:t>
      </w:r>
      <w:r w:rsidR="00252A4A" w:rsidRPr="003479AB">
        <w:rPr>
          <w:color w:val="auto"/>
        </w:rPr>
        <w:t>co</w:t>
      </w:r>
      <w:r w:rsidR="00E51C73" w:rsidRPr="003479AB">
        <w:rPr>
          <w:color w:val="auto"/>
        </w:rPr>
        <w:t xml:space="preserve">stituita sulla base della rete globale, </w:t>
      </w:r>
      <w:r w:rsidR="00252A4A" w:rsidRPr="003479AB">
        <w:rPr>
          <w:color w:val="auto"/>
        </w:rPr>
        <w:t xml:space="preserve">assume valore strategico </w:t>
      </w:r>
      <w:r w:rsidR="00E51C73" w:rsidRPr="003479AB">
        <w:rPr>
          <w:color w:val="auto"/>
        </w:rPr>
        <w:t xml:space="preserve">per lo sviluppo </w:t>
      </w:r>
      <w:r w:rsidR="00AB1CFA" w:rsidRPr="003479AB">
        <w:rPr>
          <w:color w:val="auto"/>
        </w:rPr>
        <w:t xml:space="preserve">delle reti; </w:t>
      </w:r>
      <w:r w:rsidRPr="003479AB">
        <w:rPr>
          <w:color w:val="auto"/>
        </w:rPr>
        <w:t>nel secondo</w:t>
      </w:r>
      <w:r w:rsidR="00252A4A" w:rsidRPr="003479AB">
        <w:rPr>
          <w:color w:val="auto"/>
        </w:rPr>
        <w:t xml:space="preserve"> atto</w:t>
      </w:r>
      <w:r w:rsidRPr="003479AB">
        <w:rPr>
          <w:color w:val="auto"/>
        </w:rPr>
        <w:t xml:space="preserve">, si </w:t>
      </w:r>
      <w:r w:rsidR="00371A81" w:rsidRPr="003479AB">
        <w:rPr>
          <w:color w:val="auto"/>
        </w:rPr>
        <w:t>è istituito</w:t>
      </w:r>
      <w:r w:rsidRPr="003479AB">
        <w:rPr>
          <w:color w:val="auto"/>
        </w:rPr>
        <w:t xml:space="preserve"> </w:t>
      </w:r>
      <w:r w:rsidR="00E51C73" w:rsidRPr="003479AB">
        <w:rPr>
          <w:color w:val="auto"/>
        </w:rPr>
        <w:t>il meccanismo</w:t>
      </w:r>
      <w:r w:rsidRPr="003479AB">
        <w:rPr>
          <w:color w:val="auto"/>
        </w:rPr>
        <w:t xml:space="preserve"> finanziario finalizzato a </w:t>
      </w:r>
      <w:r w:rsidR="00E51C73" w:rsidRPr="003479AB">
        <w:rPr>
          <w:color w:val="auto"/>
        </w:rPr>
        <w:t xml:space="preserve">collegare l’Europa denominato </w:t>
      </w:r>
      <w:r w:rsidRPr="003479AB">
        <w:rPr>
          <w:color w:val="auto"/>
        </w:rPr>
        <w:t>“</w:t>
      </w:r>
      <w:proofErr w:type="spellStart"/>
      <w:r w:rsidRPr="003479AB">
        <w:rPr>
          <w:i/>
          <w:iCs/>
          <w:color w:val="auto"/>
        </w:rPr>
        <w:t>Connecting</w:t>
      </w:r>
      <w:proofErr w:type="spellEnd"/>
      <w:r w:rsidRPr="003479AB">
        <w:rPr>
          <w:i/>
          <w:iCs/>
          <w:color w:val="auto"/>
        </w:rPr>
        <w:t xml:space="preserve"> Europe Facility</w:t>
      </w:r>
      <w:r w:rsidR="00E51C73" w:rsidRPr="003479AB">
        <w:rPr>
          <w:i/>
          <w:iCs/>
          <w:color w:val="auto"/>
        </w:rPr>
        <w:t xml:space="preserve"> (CEF)</w:t>
      </w:r>
      <w:r w:rsidRPr="003479AB">
        <w:rPr>
          <w:color w:val="auto"/>
        </w:rPr>
        <w:t>” o “Meccanismo per Collegare l’Europa (MCE)”</w:t>
      </w:r>
      <w:r w:rsidR="008D573F" w:rsidRPr="003479AB">
        <w:rPr>
          <w:color w:val="auto"/>
        </w:rPr>
        <w:t>.</w:t>
      </w:r>
      <w:r w:rsidRPr="003479AB">
        <w:rPr>
          <w:color w:val="auto"/>
        </w:rPr>
        <w:t xml:space="preserve"> </w:t>
      </w:r>
      <w:r w:rsidR="00371A81" w:rsidRPr="003479AB">
        <w:rPr>
          <w:color w:val="auto"/>
        </w:rPr>
        <w:t>T</w:t>
      </w:r>
      <w:r w:rsidR="00E51C73" w:rsidRPr="003479AB">
        <w:rPr>
          <w:color w:val="auto"/>
        </w:rPr>
        <w:t xml:space="preserve">ale meccanismo mira ad accelerare gli investimenti nel campo delle </w:t>
      </w:r>
      <w:r w:rsidR="00D307B4" w:rsidRPr="003479AB">
        <w:rPr>
          <w:color w:val="auto"/>
        </w:rPr>
        <w:t>Reti Transeuropee</w:t>
      </w:r>
      <w:r w:rsidR="00E51C73" w:rsidRPr="003479AB">
        <w:rPr>
          <w:color w:val="auto"/>
        </w:rPr>
        <w:t xml:space="preserve"> e a stimolare gli inves</w:t>
      </w:r>
      <w:r w:rsidR="00AB1CFA" w:rsidRPr="003479AB">
        <w:rPr>
          <w:color w:val="auto"/>
        </w:rPr>
        <w:t xml:space="preserve">timenti sia pubblici che privati; esso stabilisce le condizioni, i metodi e le procedure per la concessione di un'assistenza finanziaria dell'Unione alle </w:t>
      </w:r>
      <w:r w:rsidR="00D307B4" w:rsidRPr="003479AB">
        <w:rPr>
          <w:color w:val="auto"/>
        </w:rPr>
        <w:t>Reti Transeuropee</w:t>
      </w:r>
      <w:r w:rsidR="00AB1CFA" w:rsidRPr="003479AB">
        <w:rPr>
          <w:color w:val="auto"/>
        </w:rPr>
        <w:t xml:space="preserve"> al fine di sostenere progetti infrastrutturali di interesse comune nei settori dei trasporti, delle telecomunicazioni e dell'energia per </w:t>
      </w:r>
      <w:r w:rsidR="00E51C73" w:rsidRPr="003479AB">
        <w:rPr>
          <w:color w:val="auto"/>
        </w:rPr>
        <w:t>consentire di sfruttare al meglio le sinergie tra i</w:t>
      </w:r>
      <w:r w:rsidR="00AB1CFA" w:rsidRPr="003479AB">
        <w:rPr>
          <w:color w:val="auto"/>
        </w:rPr>
        <w:t xml:space="preserve"> tre diversi</w:t>
      </w:r>
      <w:r w:rsidR="00E51C73" w:rsidRPr="003479AB">
        <w:rPr>
          <w:color w:val="auto"/>
        </w:rPr>
        <w:t xml:space="preserve"> settori.</w:t>
      </w:r>
      <w:r w:rsidR="00AB1CFA" w:rsidRPr="003479AB">
        <w:rPr>
          <w:color w:val="auto"/>
        </w:rPr>
        <w:t xml:space="preserve"> </w:t>
      </w:r>
      <w:r w:rsidR="00252A4A" w:rsidRPr="003479AB">
        <w:rPr>
          <w:color w:val="auto"/>
        </w:rPr>
        <w:t>Nel medesimo Regolamento</w:t>
      </w:r>
      <w:r w:rsidR="00AB1CFA" w:rsidRPr="003479AB">
        <w:rPr>
          <w:color w:val="auto"/>
        </w:rPr>
        <w:t xml:space="preserve"> si </w:t>
      </w:r>
      <w:r w:rsidRPr="003479AB">
        <w:rPr>
          <w:color w:val="auto"/>
        </w:rPr>
        <w:t>identificano i</w:t>
      </w:r>
      <w:r w:rsidR="00AB1CFA" w:rsidRPr="003479AB">
        <w:rPr>
          <w:color w:val="auto"/>
        </w:rPr>
        <w:t xml:space="preserve">noltre i </w:t>
      </w:r>
      <w:r w:rsidRPr="003479AB">
        <w:rPr>
          <w:color w:val="auto"/>
        </w:rPr>
        <w:t xml:space="preserve">9 Corridoi </w:t>
      </w:r>
      <w:r w:rsidR="00AB1CFA" w:rsidRPr="003479AB">
        <w:rPr>
          <w:color w:val="auto"/>
        </w:rPr>
        <w:t xml:space="preserve">della rete centrale che costituiscono uno strumento per facilitare la realizzazione coordinata della rete centrale </w:t>
      </w:r>
      <w:r w:rsidRPr="003479AB">
        <w:rPr>
          <w:color w:val="auto"/>
        </w:rPr>
        <w:t>della Rete TEN-</w:t>
      </w:r>
      <w:r>
        <w:t>T.</w:t>
      </w:r>
    </w:p>
    <w:p w14:paraId="1048E07B" w14:textId="77777777" w:rsidR="00385BD4" w:rsidRDefault="00C6166A">
      <w:pPr>
        <w:ind w:firstLine="708"/>
        <w:jc w:val="both"/>
      </w:pPr>
      <w:r>
        <w:lastRenderedPageBreak/>
        <w:t xml:space="preserve">Il </w:t>
      </w:r>
      <w:r w:rsidR="00BB60C6">
        <w:t xml:space="preserve">Regolamento (UE) </w:t>
      </w:r>
      <w:r w:rsidR="00AB1CFA">
        <w:t>n.</w:t>
      </w:r>
      <w:r w:rsidR="00171D9E">
        <w:t xml:space="preserve"> </w:t>
      </w:r>
      <w:r>
        <w:t>1315/2013 individua il 2030 come termine per il completamento della rete centrale (</w:t>
      </w:r>
      <w:r w:rsidR="0057771F">
        <w:t>C</w:t>
      </w:r>
      <w:r>
        <w:rPr>
          <w:i/>
          <w:iCs/>
        </w:rPr>
        <w:t>ore</w:t>
      </w:r>
      <w:r>
        <w:t>) e il 2050 come termine per la rete globale (</w:t>
      </w:r>
      <w:r w:rsidR="0057771F">
        <w:t>C</w:t>
      </w:r>
      <w:r>
        <w:rPr>
          <w:i/>
          <w:iCs/>
        </w:rPr>
        <w:t>omprehensive</w:t>
      </w:r>
      <w:r>
        <w:t xml:space="preserve">). Il medesimo Regolamento contiene, inoltre, misure volte a rendere più fluido, sostenibile ed efficiente il trasporto di merci e passeggeri, attraverso l’intermodalità, l’adozione di carburanti puliti e il sostegno alla realizzazione di nuovi collegamenti tra i diversi </w:t>
      </w:r>
      <w:r w:rsidR="00255990" w:rsidRPr="00F6434E">
        <w:rPr>
          <w:iCs/>
        </w:rPr>
        <w:t>nodi che comprendono</w:t>
      </w:r>
      <w:r w:rsidR="00255990">
        <w:rPr>
          <w:i/>
          <w:iCs/>
        </w:rPr>
        <w:t xml:space="preserve"> </w:t>
      </w:r>
      <w:r w:rsidR="00255990" w:rsidRPr="00255990">
        <w:rPr>
          <w:rFonts w:eastAsia="Times New Roman" w:cs="Times New Roman"/>
          <w:color w:val="auto"/>
          <w:bdr w:val="none" w:sz="0" w:space="0" w:color="auto"/>
        </w:rPr>
        <w:t>porti marittimi e porti di navigazione interna</w:t>
      </w:r>
      <w:r>
        <w:t xml:space="preserve">, </w:t>
      </w:r>
      <w:r w:rsidR="00255990" w:rsidRPr="00255990">
        <w:rPr>
          <w:rFonts w:eastAsia="Times New Roman" w:cs="Times New Roman"/>
          <w:color w:val="auto"/>
          <w:bdr w:val="none" w:sz="0" w:space="0" w:color="auto"/>
        </w:rPr>
        <w:t>terminali ferroviario-stradali</w:t>
      </w:r>
      <w:r w:rsidR="00255990">
        <w:t xml:space="preserve">, </w:t>
      </w:r>
      <w:r w:rsidR="00255990" w:rsidRPr="00255990">
        <w:rPr>
          <w:rFonts w:eastAsia="Times New Roman" w:cs="Times New Roman"/>
          <w:color w:val="auto"/>
          <w:bdr w:val="none" w:sz="0" w:space="0" w:color="auto"/>
        </w:rPr>
        <w:t>aeroporti</w:t>
      </w:r>
      <w:r w:rsidR="00D673EC">
        <w:rPr>
          <w:rFonts w:eastAsia="Times New Roman" w:cs="Times New Roman"/>
          <w:color w:val="auto"/>
          <w:bdr w:val="none" w:sz="0" w:space="0" w:color="auto"/>
        </w:rPr>
        <w:t xml:space="preserve"> per traffico</w:t>
      </w:r>
      <w:r w:rsidR="00255990" w:rsidRPr="00255990">
        <w:rPr>
          <w:rFonts w:eastAsia="Times New Roman" w:cs="Times New Roman"/>
          <w:color w:val="auto"/>
          <w:bdr w:val="none" w:sz="0" w:space="0" w:color="auto"/>
        </w:rPr>
        <w:t xml:space="preserve"> passeggeri e merci</w:t>
      </w:r>
      <w:r w:rsidR="00255990" w:rsidDel="00255990">
        <w:t xml:space="preserve"> </w:t>
      </w:r>
      <w:r w:rsidR="00255990">
        <w:t xml:space="preserve">e nodi urbani </w:t>
      </w:r>
      <w:r>
        <w:t>della Rete TEN-T</w:t>
      </w:r>
      <w:r w:rsidR="00255990">
        <w:t>.</w:t>
      </w:r>
    </w:p>
    <w:p w14:paraId="56D898DD" w14:textId="77777777" w:rsidR="00385BD4" w:rsidRPr="003479AB" w:rsidRDefault="00C6166A" w:rsidP="006C4718">
      <w:pPr>
        <w:ind w:firstLine="708"/>
        <w:jc w:val="both"/>
        <w:rPr>
          <w:color w:val="auto"/>
        </w:rPr>
      </w:pPr>
      <w:r>
        <w:t xml:space="preserve">I Corridoi </w:t>
      </w:r>
      <w:r w:rsidR="00AB1CFA">
        <w:t>della rete centrale</w:t>
      </w:r>
      <w:r w:rsidR="00AB1CFA" w:rsidRPr="00644727">
        <w:rPr>
          <w:color w:val="000000" w:themeColor="text1"/>
        </w:rPr>
        <w:t>, transnazionali e multimodali,</w:t>
      </w:r>
      <w:r w:rsidR="00252A4A" w:rsidRPr="00644727">
        <w:rPr>
          <w:color w:val="000000" w:themeColor="text1"/>
        </w:rPr>
        <w:t xml:space="preserve"> ai sensi dell’atto normativo, devono</w:t>
      </w:r>
      <w:r w:rsidRPr="00644727">
        <w:rPr>
          <w:color w:val="000000" w:themeColor="text1"/>
        </w:rPr>
        <w:t xml:space="preserve"> garantire, pertanto, collegamenti efficienti tra le diverse </w:t>
      </w:r>
      <w:r w:rsidR="00AB1CFA" w:rsidRPr="00644727">
        <w:rPr>
          <w:color w:val="000000" w:themeColor="text1"/>
        </w:rPr>
        <w:t>r</w:t>
      </w:r>
      <w:r w:rsidRPr="00644727">
        <w:rPr>
          <w:color w:val="000000" w:themeColor="text1"/>
        </w:rPr>
        <w:t xml:space="preserve">egioni europee, </w:t>
      </w:r>
      <w:r w:rsidR="00D673EC" w:rsidRPr="00644727">
        <w:rPr>
          <w:color w:val="000000" w:themeColor="text1"/>
        </w:rPr>
        <w:t xml:space="preserve">ed infrastrutture </w:t>
      </w:r>
      <w:r w:rsidRPr="00644727">
        <w:rPr>
          <w:color w:val="000000" w:themeColor="text1"/>
        </w:rPr>
        <w:t>conform</w:t>
      </w:r>
      <w:r w:rsidR="00D673EC" w:rsidRPr="00644727">
        <w:rPr>
          <w:color w:val="000000" w:themeColor="text1"/>
        </w:rPr>
        <w:t>i</w:t>
      </w:r>
      <w:r w:rsidRPr="00644727">
        <w:rPr>
          <w:color w:val="000000" w:themeColor="text1"/>
        </w:rPr>
        <w:t xml:space="preserve"> a caratteristiche tecniche </w:t>
      </w:r>
      <w:proofErr w:type="gramStart"/>
      <w:r w:rsidRPr="00644727">
        <w:rPr>
          <w:color w:val="000000" w:themeColor="text1"/>
        </w:rPr>
        <w:t>prestabilite</w:t>
      </w:r>
      <w:r w:rsidR="009965F2" w:rsidRPr="00644727">
        <w:rPr>
          <w:color w:val="000000" w:themeColor="text1"/>
          <w:vertAlign w:val="superscript"/>
        </w:rPr>
        <w:t>(</w:t>
      </w:r>
      <w:proofErr w:type="gramEnd"/>
      <w:r w:rsidRPr="00644727">
        <w:rPr>
          <w:rStyle w:val="Rimandonotaapidipagina"/>
          <w:color w:val="000000" w:themeColor="text1"/>
        </w:rPr>
        <w:footnoteReference w:id="3"/>
      </w:r>
      <w:r w:rsidR="009965F2" w:rsidRPr="00644727">
        <w:rPr>
          <w:color w:val="000000" w:themeColor="text1"/>
          <w:vertAlign w:val="superscript"/>
        </w:rPr>
        <w:t>)</w:t>
      </w:r>
      <w:r w:rsidRPr="00644727">
        <w:rPr>
          <w:color w:val="000000" w:themeColor="text1"/>
        </w:rPr>
        <w:t xml:space="preserve"> secondo le diverse modalità di trasporto, nonché favorire la rimozione dei colli di bottiglia esistenti. Tali caratteristiche</w:t>
      </w:r>
      <w:r w:rsidR="00255990" w:rsidRPr="00644727">
        <w:rPr>
          <w:color w:val="000000" w:themeColor="text1"/>
        </w:rPr>
        <w:t xml:space="preserve"> per la rete centrale</w:t>
      </w:r>
      <w:r w:rsidRPr="00644727">
        <w:rPr>
          <w:color w:val="000000" w:themeColor="text1"/>
        </w:rPr>
        <w:t xml:space="preserve"> sono individuabili, per l’infrastruttura ferroviaria, principalmente, nel</w:t>
      </w:r>
      <w:r w:rsidR="00255990" w:rsidRPr="00644727">
        <w:rPr>
          <w:color w:val="000000" w:themeColor="text1"/>
        </w:rPr>
        <w:t>la completa</w:t>
      </w:r>
      <w:r w:rsidRPr="00644727">
        <w:rPr>
          <w:color w:val="000000" w:themeColor="text1"/>
        </w:rPr>
        <w:t xml:space="preserve"> elettrificazione</w:t>
      </w:r>
      <w:r w:rsidR="00255990" w:rsidRPr="00644727">
        <w:rPr>
          <w:color w:val="000000" w:themeColor="text1"/>
        </w:rPr>
        <w:t xml:space="preserve"> delle linee</w:t>
      </w:r>
      <w:r w:rsidRPr="00644727">
        <w:rPr>
          <w:color w:val="000000" w:themeColor="text1"/>
        </w:rPr>
        <w:t>, nell</w:t>
      </w:r>
      <w:r w:rsidR="00255990" w:rsidRPr="00644727">
        <w:rPr>
          <w:color w:val="000000" w:themeColor="text1"/>
        </w:rPr>
        <w:t xml:space="preserve">a piena realizzazione </w:t>
      </w:r>
      <w:r w:rsidR="008E1271" w:rsidRPr="00644727">
        <w:rPr>
          <w:color w:val="000000" w:themeColor="text1"/>
        </w:rPr>
        <w:t xml:space="preserve">del sistema di gestione del traffico ferroviario </w:t>
      </w:r>
      <w:r w:rsidRPr="00644727">
        <w:rPr>
          <w:color w:val="000000" w:themeColor="text1"/>
        </w:rPr>
        <w:t>ERTMS</w:t>
      </w:r>
      <w:r w:rsidR="008E1271" w:rsidRPr="00644727">
        <w:rPr>
          <w:color w:val="000000" w:themeColor="text1"/>
        </w:rPr>
        <w:t xml:space="preserve"> (</w:t>
      </w:r>
      <w:proofErr w:type="spellStart"/>
      <w:r w:rsidR="008E1271" w:rsidRPr="00644727">
        <w:rPr>
          <w:i/>
          <w:color w:val="000000" w:themeColor="text1"/>
        </w:rPr>
        <w:t>European</w:t>
      </w:r>
      <w:proofErr w:type="spellEnd"/>
      <w:r w:rsidR="008E1271" w:rsidRPr="00644727">
        <w:rPr>
          <w:i/>
          <w:color w:val="000000" w:themeColor="text1"/>
        </w:rPr>
        <w:t xml:space="preserve"> </w:t>
      </w:r>
      <w:proofErr w:type="spellStart"/>
      <w:r w:rsidR="008E1271" w:rsidRPr="008E1271">
        <w:rPr>
          <w:i/>
        </w:rPr>
        <w:t>Rail</w:t>
      </w:r>
      <w:proofErr w:type="spellEnd"/>
      <w:r w:rsidR="008E1271" w:rsidRPr="008E1271">
        <w:rPr>
          <w:i/>
        </w:rPr>
        <w:t xml:space="preserve"> Traffic Man</w:t>
      </w:r>
      <w:r w:rsidR="00B76C6E">
        <w:rPr>
          <w:i/>
        </w:rPr>
        <w:t>a</w:t>
      </w:r>
      <w:r w:rsidR="008E1271" w:rsidRPr="008E1271">
        <w:rPr>
          <w:i/>
        </w:rPr>
        <w:t>gement System</w:t>
      </w:r>
      <w:r w:rsidR="008E1271">
        <w:t>)</w:t>
      </w:r>
      <w:r>
        <w:t xml:space="preserve"> e nel rispetto di </w:t>
      </w:r>
      <w:r w:rsidR="00255990">
        <w:t xml:space="preserve">requisiti </w:t>
      </w:r>
      <w:r w:rsidR="00D673EC">
        <w:t xml:space="preserve">tecnici quali, ad esempio, </w:t>
      </w:r>
      <w:r>
        <w:t>carico assiale</w:t>
      </w:r>
      <w:r w:rsidR="00255990">
        <w:t>, sagoma, velocità e lunghezza dei treni</w:t>
      </w:r>
      <w:r>
        <w:t xml:space="preserve">, mentre per </w:t>
      </w:r>
      <w:r w:rsidR="00252A4A">
        <w:t xml:space="preserve">le infrastrutture </w:t>
      </w:r>
      <w:r>
        <w:t xml:space="preserve">autostradali nel garantire aree di </w:t>
      </w:r>
      <w:r w:rsidR="00AB1CFA">
        <w:t>parcheggio e di sosta</w:t>
      </w:r>
      <w:r>
        <w:t xml:space="preserve"> ogni 100 km e </w:t>
      </w:r>
      <w:r w:rsidR="00255990">
        <w:t>nella capacità di rendere disponibili combustibili puliti alternativi, requisito presente anche per il settore aereo,</w:t>
      </w:r>
      <w:r>
        <w:t xml:space="preserve"> nonché nella dotazione di tecnologie intelligenti </w:t>
      </w:r>
      <w:r w:rsidR="00255990">
        <w:t xml:space="preserve">ed applicazioni telematiche </w:t>
      </w:r>
      <w:r>
        <w:t>(ITS</w:t>
      </w:r>
      <w:r w:rsidR="008E1271">
        <w:t xml:space="preserve"> </w:t>
      </w:r>
      <w:r w:rsidR="00F638AF">
        <w:t>-</w:t>
      </w:r>
      <w:r w:rsidR="008E1271">
        <w:t xml:space="preserve"> </w:t>
      </w:r>
      <w:proofErr w:type="spellStart"/>
      <w:r w:rsidR="008E1271" w:rsidRPr="008E1271">
        <w:rPr>
          <w:i/>
        </w:rPr>
        <w:t>Intelligent</w:t>
      </w:r>
      <w:proofErr w:type="spellEnd"/>
      <w:r w:rsidR="008E1271" w:rsidRPr="008E1271">
        <w:rPr>
          <w:i/>
        </w:rPr>
        <w:t xml:space="preserve"> </w:t>
      </w:r>
      <w:proofErr w:type="spellStart"/>
      <w:r w:rsidR="008E1271" w:rsidRPr="008E1271">
        <w:rPr>
          <w:i/>
        </w:rPr>
        <w:t>Transport</w:t>
      </w:r>
      <w:proofErr w:type="spellEnd"/>
      <w:r w:rsidR="008E1271" w:rsidRPr="008E1271">
        <w:rPr>
          <w:i/>
        </w:rPr>
        <w:t xml:space="preserve"> System</w:t>
      </w:r>
      <w:r w:rsidR="008D573F">
        <w:t xml:space="preserve">, </w:t>
      </w:r>
      <w:r>
        <w:t>ATM</w:t>
      </w:r>
      <w:r w:rsidR="008E1271">
        <w:t xml:space="preserve"> </w:t>
      </w:r>
      <w:r w:rsidR="00F638AF">
        <w:t>-</w:t>
      </w:r>
      <w:r w:rsidR="008E1271">
        <w:t xml:space="preserve"> </w:t>
      </w:r>
      <w:r w:rsidR="008E1271" w:rsidRPr="008E1271">
        <w:rPr>
          <w:i/>
        </w:rPr>
        <w:t>Air Traffic Management</w:t>
      </w:r>
      <w:r w:rsidR="00255990">
        <w:t>,</w:t>
      </w:r>
      <w:r>
        <w:t xml:space="preserve"> VTMIS</w:t>
      </w:r>
      <w:r w:rsidR="008E1271">
        <w:t xml:space="preserve"> - </w:t>
      </w:r>
      <w:r w:rsidR="008E1271" w:rsidRPr="008E1271">
        <w:rPr>
          <w:i/>
        </w:rPr>
        <w:t>Vessel Traffic Management and Information System</w:t>
      </w:r>
      <w:r w:rsidR="00255990">
        <w:t>, RIS</w:t>
      </w:r>
      <w:r w:rsidR="008E1271">
        <w:t xml:space="preserve">- </w:t>
      </w:r>
      <w:r w:rsidR="008E1271" w:rsidRPr="008E1271">
        <w:rPr>
          <w:i/>
        </w:rPr>
        <w:t xml:space="preserve">River </w:t>
      </w:r>
      <w:r w:rsidR="008E1271" w:rsidRPr="003479AB">
        <w:rPr>
          <w:i/>
          <w:color w:val="auto"/>
        </w:rPr>
        <w:t>Information System</w:t>
      </w:r>
      <w:r w:rsidR="00255990" w:rsidRPr="003479AB">
        <w:rPr>
          <w:color w:val="auto"/>
        </w:rPr>
        <w:t>, ERTMS</w:t>
      </w:r>
      <w:r w:rsidR="008E1271" w:rsidRPr="003479AB">
        <w:rPr>
          <w:color w:val="auto"/>
        </w:rPr>
        <w:t xml:space="preserve"> - </w:t>
      </w:r>
      <w:proofErr w:type="spellStart"/>
      <w:r w:rsidR="008E1271" w:rsidRPr="003479AB">
        <w:rPr>
          <w:i/>
          <w:color w:val="auto"/>
        </w:rPr>
        <w:t>European</w:t>
      </w:r>
      <w:proofErr w:type="spellEnd"/>
      <w:r w:rsidR="008E1271" w:rsidRPr="003479AB">
        <w:rPr>
          <w:i/>
          <w:color w:val="auto"/>
        </w:rPr>
        <w:t xml:space="preserve"> </w:t>
      </w:r>
      <w:proofErr w:type="spellStart"/>
      <w:r w:rsidR="008E1271" w:rsidRPr="003479AB">
        <w:rPr>
          <w:i/>
          <w:color w:val="auto"/>
        </w:rPr>
        <w:t>Rail</w:t>
      </w:r>
      <w:proofErr w:type="spellEnd"/>
      <w:r w:rsidR="008E1271" w:rsidRPr="003479AB">
        <w:rPr>
          <w:i/>
          <w:color w:val="auto"/>
        </w:rPr>
        <w:t xml:space="preserve"> Traffic Man</w:t>
      </w:r>
      <w:r w:rsidR="00B76C6E" w:rsidRPr="003479AB">
        <w:rPr>
          <w:i/>
          <w:color w:val="auto"/>
        </w:rPr>
        <w:t>a</w:t>
      </w:r>
      <w:r w:rsidR="008E1271" w:rsidRPr="003479AB">
        <w:rPr>
          <w:i/>
          <w:color w:val="auto"/>
        </w:rPr>
        <w:t>gement System</w:t>
      </w:r>
      <w:r w:rsidRPr="003479AB">
        <w:rPr>
          <w:color w:val="auto"/>
        </w:rPr>
        <w:t xml:space="preserve">). </w:t>
      </w:r>
    </w:p>
    <w:p w14:paraId="4E6D2961" w14:textId="77777777" w:rsidR="00385BD4" w:rsidRDefault="00831908" w:rsidP="006C4718">
      <w:pPr>
        <w:ind w:firstLine="708"/>
        <w:jc w:val="both"/>
      </w:pPr>
      <w:r w:rsidRPr="003479AB">
        <w:rPr>
          <w:color w:val="auto"/>
        </w:rPr>
        <w:t xml:space="preserve">Il </w:t>
      </w:r>
      <w:r w:rsidR="00252A4A" w:rsidRPr="003479AB">
        <w:rPr>
          <w:color w:val="auto"/>
        </w:rPr>
        <w:t xml:space="preserve">suddetto </w:t>
      </w:r>
      <w:r w:rsidRPr="003479AB">
        <w:rPr>
          <w:color w:val="auto"/>
        </w:rPr>
        <w:t>Regolamento,</w:t>
      </w:r>
      <w:r w:rsidR="00C6166A" w:rsidRPr="003479AB">
        <w:rPr>
          <w:color w:val="auto"/>
        </w:rPr>
        <w:t xml:space="preserve"> oltre a prevedere </w:t>
      </w:r>
      <w:r w:rsidR="00252A4A" w:rsidRPr="003479AB">
        <w:rPr>
          <w:color w:val="auto"/>
        </w:rPr>
        <w:t xml:space="preserve">specifiche e </w:t>
      </w:r>
      <w:r w:rsidR="00C6166A" w:rsidRPr="003479AB">
        <w:rPr>
          <w:color w:val="auto"/>
        </w:rPr>
        <w:t>prestabilit</w:t>
      </w:r>
      <w:r w:rsidR="00252A4A" w:rsidRPr="003479AB">
        <w:rPr>
          <w:color w:val="auto"/>
        </w:rPr>
        <w:t xml:space="preserve">e procedure </w:t>
      </w:r>
      <w:proofErr w:type="gramStart"/>
      <w:r w:rsidR="00252A4A" w:rsidRPr="003479AB">
        <w:rPr>
          <w:color w:val="auto"/>
        </w:rPr>
        <w:t xml:space="preserve">di </w:t>
      </w:r>
      <w:r w:rsidR="00C6166A" w:rsidRPr="003479AB">
        <w:rPr>
          <w:color w:val="auto"/>
        </w:rPr>
        <w:t xml:space="preserve"> revisione</w:t>
      </w:r>
      <w:proofErr w:type="gramEnd"/>
      <w:r w:rsidR="00C6166A" w:rsidRPr="003479AB">
        <w:rPr>
          <w:color w:val="auto"/>
        </w:rPr>
        <w:t xml:space="preserve"> della rete</w:t>
      </w:r>
      <w:r w:rsidR="009965F2" w:rsidRPr="003479AB">
        <w:rPr>
          <w:color w:val="auto"/>
          <w:vertAlign w:val="superscript"/>
        </w:rPr>
        <w:t>(</w:t>
      </w:r>
      <w:r w:rsidR="00C6166A" w:rsidRPr="003479AB">
        <w:rPr>
          <w:rStyle w:val="Rimandonotaapidipagina"/>
          <w:color w:val="auto"/>
        </w:rPr>
        <w:footnoteReference w:id="4"/>
      </w:r>
      <w:r w:rsidR="009965F2" w:rsidRPr="003479AB">
        <w:rPr>
          <w:color w:val="auto"/>
          <w:vertAlign w:val="superscript"/>
        </w:rPr>
        <w:t>)</w:t>
      </w:r>
      <w:r w:rsidR="00C6166A" w:rsidRPr="003479AB">
        <w:rPr>
          <w:color w:val="auto"/>
        </w:rPr>
        <w:t>, rende vincolante l’utilizzo dei fondi che l’</w:t>
      </w:r>
      <w:r w:rsidR="00F25599" w:rsidRPr="003479AB">
        <w:rPr>
          <w:color w:val="auto"/>
        </w:rPr>
        <w:t>Unione Europea</w:t>
      </w:r>
      <w:r w:rsidR="00C6166A" w:rsidRPr="003479AB">
        <w:rPr>
          <w:color w:val="auto"/>
        </w:rPr>
        <w:t xml:space="preserve"> eroga nel settore dei trasporti</w:t>
      </w:r>
      <w:r w:rsidR="00252A4A" w:rsidRPr="003479AB">
        <w:rPr>
          <w:color w:val="auto"/>
        </w:rPr>
        <w:t>,</w:t>
      </w:r>
      <w:r w:rsidR="00C6166A" w:rsidRPr="003479AB">
        <w:rPr>
          <w:color w:val="auto"/>
        </w:rPr>
        <w:t xml:space="preserve"> per l'attuazione </w:t>
      </w:r>
      <w:r w:rsidR="00C6166A">
        <w:t xml:space="preserve">di progetti di interesse comune, </w:t>
      </w:r>
      <w:r w:rsidR="00255990">
        <w:t xml:space="preserve">ovvero progetti realizzati in conformità </w:t>
      </w:r>
      <w:r w:rsidR="00252A4A">
        <w:t xml:space="preserve">ai </w:t>
      </w:r>
      <w:r w:rsidR="00255990">
        <w:t xml:space="preserve">requisiti del </w:t>
      </w:r>
      <w:r w:rsidR="00BB60C6">
        <w:t xml:space="preserve">Regolamento (UE) </w:t>
      </w:r>
      <w:r w:rsidR="00255990">
        <w:t>n.</w:t>
      </w:r>
      <w:r w:rsidR="00171D9E">
        <w:t xml:space="preserve"> </w:t>
      </w:r>
      <w:r w:rsidR="00255990">
        <w:t xml:space="preserve">1315/2013 e nel rispetto delle disposizioni ivi contenute </w:t>
      </w:r>
      <w:r w:rsidR="00C6166A">
        <w:t xml:space="preserve">mediante l’utilizzo delle risorse stanziate tramite il CEF. </w:t>
      </w:r>
    </w:p>
    <w:p w14:paraId="4CD958F0" w14:textId="77777777" w:rsidR="00644727" w:rsidRDefault="00644727" w:rsidP="006C4718">
      <w:pPr>
        <w:ind w:firstLine="708"/>
        <w:jc w:val="both"/>
      </w:pPr>
    </w:p>
    <w:p w14:paraId="4935BBD7" w14:textId="77777777" w:rsidR="00945027" w:rsidRPr="00F63DA4" w:rsidRDefault="00945027" w:rsidP="006C4718">
      <w:pPr>
        <w:jc w:val="both"/>
        <w:rPr>
          <w:rFonts w:cs="Times New Roman"/>
        </w:rPr>
      </w:pPr>
    </w:p>
    <w:p w14:paraId="2D73F9FA" w14:textId="77777777" w:rsidR="00385BD4" w:rsidRDefault="00C6166A" w:rsidP="006C4718">
      <w:pPr>
        <w:jc w:val="both"/>
        <w:rPr>
          <w:b/>
          <w:bCs/>
        </w:rPr>
      </w:pPr>
      <w:r w:rsidRPr="00126510">
        <w:rPr>
          <w:b/>
          <w:bCs/>
        </w:rPr>
        <w:t xml:space="preserve">XI.2 </w:t>
      </w:r>
      <w:r w:rsidR="00684E2E">
        <w:rPr>
          <w:b/>
          <w:bCs/>
        </w:rPr>
        <w:t>-</w:t>
      </w:r>
      <w:r w:rsidRPr="00126510">
        <w:rPr>
          <w:b/>
          <w:bCs/>
        </w:rPr>
        <w:t xml:space="preserve"> Corridoi </w:t>
      </w:r>
      <w:r w:rsidR="0057771F">
        <w:rPr>
          <w:b/>
          <w:bCs/>
        </w:rPr>
        <w:t>della rete centrale</w:t>
      </w:r>
    </w:p>
    <w:p w14:paraId="5549C19D" w14:textId="77777777" w:rsidR="0037642B" w:rsidRDefault="0037642B" w:rsidP="006C4718">
      <w:pPr>
        <w:jc w:val="both"/>
        <w:rPr>
          <w:b/>
          <w:bCs/>
        </w:rPr>
      </w:pPr>
    </w:p>
    <w:p w14:paraId="09957D0E" w14:textId="77777777" w:rsidR="000F6CCE" w:rsidRDefault="000F6CCE" w:rsidP="000F6CCE">
      <w:pPr>
        <w:ind w:firstLine="708"/>
        <w:jc w:val="both"/>
      </w:pPr>
      <w:r>
        <w:t>Il combinato dei due Regolamenti europei sopracitati intende contribuire alla definizione di un disegno unitario delle reti infrastrutturali di trasporto estese al continente europeo, in grado di collegare l’Europa ai Paesi dell’Est, al Medio Oriente e alla sponda Sud del Mediterraneo e di rispondere alla domanda di trasporto proveniente da sistemi produtt</w:t>
      </w:r>
      <w:r w:rsidR="00D673EC">
        <w:t>ivi che seguono le logiche di un’</w:t>
      </w:r>
      <w:r>
        <w:t>economia globalizzata. Tale visione ha permesso di superare, almeno in parte, l’ottica potenzialmente frammentaria, più tradizionale, legata a</w:t>
      </w:r>
      <w:r w:rsidR="00D673EC">
        <w:t>i</w:t>
      </w:r>
      <w:r>
        <w:t xml:space="preserve"> sistemi di trasporto sviluppati secondo strategie derivanti da esigenze territoriali dei singoli Stati.</w:t>
      </w:r>
    </w:p>
    <w:p w14:paraId="46EB2D78" w14:textId="77777777" w:rsidR="000F6CCE" w:rsidRDefault="000F6CCE" w:rsidP="000F6CCE">
      <w:pPr>
        <w:ind w:firstLine="567"/>
        <w:jc w:val="both"/>
      </w:pPr>
      <w:r>
        <w:t>I Corridoi della rete centrale rappresentano, quindi, lo strumento per l’implementazione coordinata della Rete TEN-T, focalizzando l’attenzione sui seguenti aspetti: integrazione modale, interoperabilità e sviluppo coordinato delle infrastrutture</w:t>
      </w:r>
      <w:r w:rsidR="00D673EC">
        <w:t>, in particolare nelle tratte</w:t>
      </w:r>
      <w:r>
        <w:t xml:space="preserve"> transfrontaliere</w:t>
      </w:r>
      <w:r w:rsidR="00D673EC">
        <w:t xml:space="preserve"> e nelle strozzature</w:t>
      </w:r>
      <w:r>
        <w:t xml:space="preserve">. </w:t>
      </w:r>
    </w:p>
    <w:p w14:paraId="473C34F4" w14:textId="77777777" w:rsidR="000F6CCE" w:rsidRPr="004A302B" w:rsidRDefault="000F6CCE" w:rsidP="000F6CCE">
      <w:pPr>
        <w:ind w:firstLine="709"/>
        <w:jc w:val="both"/>
      </w:pPr>
      <w:r>
        <w:t xml:space="preserve">La </w:t>
      </w:r>
      <w:r w:rsidRPr="00D20299">
        <w:t>definizione dei Corridoi della r</w:t>
      </w:r>
      <w:r w:rsidR="00D673EC">
        <w:t xml:space="preserve">ete centrale è individuabile agli </w:t>
      </w:r>
      <w:r w:rsidRPr="00D20299">
        <w:t>art</w:t>
      </w:r>
      <w:r w:rsidR="00D673EC">
        <w:t>t</w:t>
      </w:r>
      <w:r w:rsidRPr="00D20299">
        <w:t xml:space="preserve">. </w:t>
      </w:r>
      <w:r w:rsidR="00D673EC">
        <w:t xml:space="preserve">42 e </w:t>
      </w:r>
      <w:r w:rsidRPr="00D20299">
        <w:t xml:space="preserve">43 del Regolamento (UE) n. 1315/2013 mentre l’elenco degli stessi figura nella parte I dell’Allegato I al Regolamento (UE) n. 1316/2013. In tale allegato, vengono identificati </w:t>
      </w:r>
      <w:r w:rsidRPr="00742DDB">
        <w:t xml:space="preserve">nove Corridoi, quattro dei quali attraversano la </w:t>
      </w:r>
      <w:r w:rsidR="00D673EC">
        <w:t>p</w:t>
      </w:r>
      <w:r w:rsidRPr="00742DDB">
        <w:t xml:space="preserve">enisola </w:t>
      </w:r>
      <w:r w:rsidRPr="00F17A16">
        <w:t>italiana da nord a sud e da est a o</w:t>
      </w:r>
      <w:r w:rsidRPr="004A302B">
        <w:t>vest (cfr. Figura XI.2.1):</w:t>
      </w:r>
    </w:p>
    <w:p w14:paraId="6BC83EBE" w14:textId="77777777" w:rsidR="0037642B" w:rsidRPr="00C279A7" w:rsidRDefault="000F6CCE" w:rsidP="00F63DA4">
      <w:pPr>
        <w:pStyle w:val="Paragrafoelenco"/>
        <w:numPr>
          <w:ilvl w:val="0"/>
          <w:numId w:val="51"/>
        </w:numPr>
        <w:ind w:left="284" w:hanging="284"/>
      </w:pPr>
      <w:r w:rsidRPr="00C279A7">
        <w:t xml:space="preserve">il </w:t>
      </w:r>
      <w:r w:rsidR="00D673EC">
        <w:rPr>
          <w:bCs/>
        </w:rPr>
        <w:t>Corridoio Baltico-</w:t>
      </w:r>
      <w:r w:rsidRPr="00F63DA4">
        <w:rPr>
          <w:bCs/>
        </w:rPr>
        <w:t>Adriatico</w:t>
      </w:r>
      <w:r w:rsidR="001118E7">
        <w:rPr>
          <w:bCs/>
        </w:rPr>
        <w:t>;</w:t>
      </w:r>
    </w:p>
    <w:p w14:paraId="7C1BF183" w14:textId="77777777" w:rsidR="000F6CCE" w:rsidRPr="00C279A7" w:rsidRDefault="000F6CCE" w:rsidP="00F63DA4">
      <w:pPr>
        <w:pStyle w:val="Paragrafoelenco"/>
        <w:numPr>
          <w:ilvl w:val="0"/>
          <w:numId w:val="51"/>
        </w:numPr>
        <w:ind w:left="284" w:hanging="284"/>
      </w:pPr>
      <w:r w:rsidRPr="00C279A7">
        <w:t xml:space="preserve">il </w:t>
      </w:r>
      <w:r w:rsidRPr="00F63DA4">
        <w:rPr>
          <w:bCs/>
        </w:rPr>
        <w:t>Corridoio Mediterraneo</w:t>
      </w:r>
      <w:r w:rsidR="001118E7">
        <w:rPr>
          <w:bCs/>
        </w:rPr>
        <w:t>;</w:t>
      </w:r>
    </w:p>
    <w:p w14:paraId="570D1D68" w14:textId="77777777" w:rsidR="0037642B" w:rsidRPr="00C279A7" w:rsidRDefault="000F6CCE" w:rsidP="00F63DA4">
      <w:pPr>
        <w:pStyle w:val="Paragrafoelenco"/>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pPr>
      <w:r w:rsidRPr="00C279A7">
        <w:t xml:space="preserve">il </w:t>
      </w:r>
      <w:r w:rsidRPr="00F63DA4">
        <w:rPr>
          <w:bCs/>
        </w:rPr>
        <w:t>Corridoio Scandinavo-Mediterraneo</w:t>
      </w:r>
      <w:r w:rsidR="001118E7">
        <w:rPr>
          <w:bCs/>
        </w:rPr>
        <w:t>;</w:t>
      </w:r>
    </w:p>
    <w:p w14:paraId="2D2E117F" w14:textId="77777777" w:rsidR="0037642B" w:rsidRPr="00C279A7" w:rsidRDefault="000F6CCE" w:rsidP="00F63DA4">
      <w:pPr>
        <w:pStyle w:val="Paragrafoelenco"/>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bCs/>
        </w:rPr>
      </w:pPr>
      <w:r w:rsidRPr="00C279A7">
        <w:t xml:space="preserve">il </w:t>
      </w:r>
      <w:r w:rsidR="00D673EC">
        <w:rPr>
          <w:bCs/>
        </w:rPr>
        <w:t>Corridoio Reno-</w:t>
      </w:r>
      <w:r w:rsidRPr="00C279A7">
        <w:rPr>
          <w:bCs/>
        </w:rPr>
        <w:t>Alpi</w:t>
      </w:r>
      <w:r w:rsidR="001118E7">
        <w:rPr>
          <w:bCs/>
        </w:rPr>
        <w:t>.</w:t>
      </w:r>
    </w:p>
    <w:p w14:paraId="5B62127F" w14:textId="77777777" w:rsidR="000F6CCE" w:rsidRPr="00742DDB" w:rsidRDefault="000F6CCE" w:rsidP="00F63DA4">
      <w:pPr>
        <w:pBdr>
          <w:top w:val="none" w:sz="0" w:space="0" w:color="auto"/>
          <w:left w:val="none" w:sz="0" w:space="0" w:color="auto"/>
          <w:bottom w:val="none" w:sz="0" w:space="0" w:color="auto"/>
          <w:right w:val="none" w:sz="0" w:space="0" w:color="auto"/>
          <w:between w:val="none" w:sz="0" w:space="0" w:color="auto"/>
          <w:bar w:val="none" w:sz="0" w:color="auto"/>
        </w:pBdr>
        <w:ind w:firstLine="567"/>
        <w:contextualSpacing/>
      </w:pPr>
      <w:r w:rsidRPr="00D20299">
        <w:t>Ai citati nove Corridoi si aggiungono quattro priorità, cosiddette priorità orizzontali, che riguardano il programma Ciel</w:t>
      </w:r>
      <w:r w:rsidRPr="00F17A16">
        <w:t xml:space="preserve">o Unico (SESAR </w:t>
      </w:r>
      <w:r w:rsidRPr="003E7797">
        <w:rPr>
          <w:b/>
        </w:rPr>
        <w:t>-</w:t>
      </w:r>
      <w:r w:rsidRPr="004A302B">
        <w:t xml:space="preserve"> </w:t>
      </w:r>
      <w:r w:rsidRPr="003E7797">
        <w:rPr>
          <w:i/>
        </w:rPr>
        <w:t xml:space="preserve">Single </w:t>
      </w:r>
      <w:proofErr w:type="spellStart"/>
      <w:r w:rsidRPr="003E7797">
        <w:rPr>
          <w:i/>
        </w:rPr>
        <w:t>European</w:t>
      </w:r>
      <w:proofErr w:type="spellEnd"/>
      <w:r w:rsidRPr="003E7797">
        <w:rPr>
          <w:i/>
        </w:rPr>
        <w:t xml:space="preserve"> </w:t>
      </w:r>
      <w:proofErr w:type="spellStart"/>
      <w:r w:rsidRPr="003E7797">
        <w:rPr>
          <w:i/>
        </w:rPr>
        <w:t>Sky</w:t>
      </w:r>
      <w:proofErr w:type="spellEnd"/>
      <w:r w:rsidRPr="003E7797">
        <w:rPr>
          <w:i/>
        </w:rPr>
        <w:t xml:space="preserve"> ATM </w:t>
      </w:r>
      <w:proofErr w:type="spellStart"/>
      <w:r w:rsidRPr="003E7797">
        <w:rPr>
          <w:i/>
        </w:rPr>
        <w:t>Research</w:t>
      </w:r>
      <w:proofErr w:type="spellEnd"/>
      <w:r w:rsidRPr="00D2048C">
        <w:t>), le applicazioni telematiche (ITS, ERTMS, RIS, VTMIS), le Autostrade del Mare (</w:t>
      </w:r>
      <w:proofErr w:type="spellStart"/>
      <w:r w:rsidRPr="00D2048C">
        <w:t>AdM</w:t>
      </w:r>
      <w:proofErr w:type="spellEnd"/>
      <w:r w:rsidR="00742DDB">
        <w:t xml:space="preserve"> o</w:t>
      </w:r>
      <w:r w:rsidR="00783A39">
        <w:t>, in inglese,</w:t>
      </w:r>
      <w:r w:rsidR="00742DDB">
        <w:t xml:space="preserve"> </w:t>
      </w:r>
      <w:proofErr w:type="spellStart"/>
      <w:r w:rsidR="00742DDB">
        <w:t>M</w:t>
      </w:r>
      <w:r w:rsidR="00171D9E">
        <w:t>o</w:t>
      </w:r>
      <w:r w:rsidR="00742DDB">
        <w:t>S</w:t>
      </w:r>
      <w:proofErr w:type="spellEnd"/>
      <w:r w:rsidRPr="00742DDB">
        <w:t>) e, infine, i progetti di innovazione tecnologica.</w:t>
      </w:r>
    </w:p>
    <w:p w14:paraId="5C6C786A" w14:textId="77777777" w:rsidR="000F6CCE" w:rsidRPr="00D20299" w:rsidRDefault="000F6CCE" w:rsidP="000F6CCE">
      <w:pPr>
        <w:ind w:firstLine="708"/>
        <w:jc w:val="both"/>
      </w:pPr>
      <w:r w:rsidRPr="00F17A16">
        <w:t>Al fine di facilitare la realizzazione coordinata dei Corridoi della re</w:t>
      </w:r>
      <w:r w:rsidRPr="004A302B">
        <w:t>te centrale, del sistema ERTMS e delle Autostrade del Mare, la Commissione Europea ha designato, per ciascuno Corridoio, un Coordinatore con il compito di accompagnarne</w:t>
      </w:r>
      <w:r>
        <w:t xml:space="preserve"> e sostenerne lo sviluppo. Il Coordinatore è assistito nell’espletamento dei propri compiti da un forum consultivo denominato “Forum di Corridoio”, istituito e </w:t>
      </w:r>
      <w:r>
        <w:lastRenderedPageBreak/>
        <w:t xml:space="preserve">presieduto dal medesimo Coordinatore e partecipato dai rappresentanti degli Stati membri interessati e da tutti gli </w:t>
      </w:r>
      <w:r w:rsidRPr="00450E48">
        <w:rPr>
          <w:i/>
        </w:rPr>
        <w:t>stakeholder</w:t>
      </w:r>
      <w:r>
        <w:t xml:space="preserve"> coinvolti.</w:t>
      </w:r>
      <w:r w:rsidRPr="00293D55">
        <w:t xml:space="preserve"> </w:t>
      </w:r>
      <w:r>
        <w:t xml:space="preserve">Il Coordinatore europeo, d’intesa con gli </w:t>
      </w:r>
      <w:r w:rsidRPr="00D20299">
        <w:t xml:space="preserve">Stati interessati, produce un </w:t>
      </w:r>
      <w:r w:rsidR="00AD249F" w:rsidRPr="00D20299">
        <w:t>P</w:t>
      </w:r>
      <w:r w:rsidRPr="00D20299">
        <w:t xml:space="preserve">iano di </w:t>
      </w:r>
      <w:r w:rsidR="00AD249F" w:rsidRPr="00D20299">
        <w:t>L</w:t>
      </w:r>
      <w:r w:rsidRPr="00742DDB">
        <w:t xml:space="preserve">avoro che viene aggiornato periodicamente e che analizza lo sviluppo del corridoio. </w:t>
      </w:r>
    </w:p>
    <w:p w14:paraId="48545206" w14:textId="77777777" w:rsidR="000F6CCE" w:rsidRPr="004A302B" w:rsidRDefault="00AD249F" w:rsidP="000F6CCE">
      <w:pPr>
        <w:ind w:firstLine="708"/>
        <w:jc w:val="both"/>
      </w:pPr>
      <w:r w:rsidRPr="004A302B">
        <w:t>I</w:t>
      </w:r>
      <w:r w:rsidR="000F6CCE" w:rsidRPr="004A302B">
        <w:t xml:space="preserve"> Coordinatori dei Corridoi che attraversano il territorio nazionale sono i seguenti:</w:t>
      </w:r>
    </w:p>
    <w:p w14:paraId="65DB9003" w14:textId="77777777" w:rsidR="000F6CCE" w:rsidRPr="004A302B" w:rsidRDefault="000F6CCE" w:rsidP="00F63DA4">
      <w:pPr>
        <w:pStyle w:val="Paragrafoelenco"/>
        <w:numPr>
          <w:ilvl w:val="0"/>
          <w:numId w:val="22"/>
        </w:numPr>
        <w:ind w:left="284" w:hanging="284"/>
      </w:pPr>
      <w:r w:rsidRPr="004A302B">
        <w:t xml:space="preserve">Elisabeth Jensen (DK) - Coordinatrice del Corridoio Baltico-Adriatico; </w:t>
      </w:r>
    </w:p>
    <w:p w14:paraId="3330A925" w14:textId="77777777" w:rsidR="000F6CCE" w:rsidRPr="00D2048C" w:rsidRDefault="000F6CCE" w:rsidP="00F63DA4">
      <w:pPr>
        <w:pStyle w:val="Paragrafoelenco"/>
        <w:numPr>
          <w:ilvl w:val="0"/>
          <w:numId w:val="22"/>
        </w:numPr>
        <w:ind w:left="284" w:hanging="284"/>
      </w:pPr>
      <w:proofErr w:type="spellStart"/>
      <w:r w:rsidRPr="00D2048C">
        <w:t>Paweł</w:t>
      </w:r>
      <w:proofErr w:type="spellEnd"/>
      <w:r w:rsidRPr="00D2048C">
        <w:t xml:space="preserve"> </w:t>
      </w:r>
      <w:proofErr w:type="spellStart"/>
      <w:r w:rsidRPr="00D2048C">
        <w:t>Wojciechowski</w:t>
      </w:r>
      <w:proofErr w:type="spellEnd"/>
      <w:r w:rsidRPr="00D2048C">
        <w:t xml:space="preserve"> (PL) - Coordinatore del Corridoio Reno-Alpi; </w:t>
      </w:r>
    </w:p>
    <w:p w14:paraId="6CD5B30D" w14:textId="77777777" w:rsidR="000F6CCE" w:rsidRPr="000E1DCE" w:rsidRDefault="000F6CCE" w:rsidP="00F63DA4">
      <w:pPr>
        <w:pStyle w:val="Paragrafoelenco"/>
        <w:numPr>
          <w:ilvl w:val="0"/>
          <w:numId w:val="22"/>
        </w:numPr>
        <w:ind w:left="284" w:hanging="284"/>
      </w:pPr>
      <w:proofErr w:type="spellStart"/>
      <w:r w:rsidRPr="000E1DCE">
        <w:t>Pat</w:t>
      </w:r>
      <w:proofErr w:type="spellEnd"/>
      <w:r w:rsidRPr="000E1DCE">
        <w:t xml:space="preserve"> Cox (</w:t>
      </w:r>
      <w:proofErr w:type="gramStart"/>
      <w:r w:rsidRPr="000E1DCE">
        <w:t>IE)  -</w:t>
      </w:r>
      <w:proofErr w:type="gramEnd"/>
      <w:r w:rsidRPr="000E1DCE">
        <w:t xml:space="preserve"> Coordinatore del Corridoio Scandinavo-Mediterraneo; </w:t>
      </w:r>
    </w:p>
    <w:p w14:paraId="5D42E5EB" w14:textId="77777777" w:rsidR="000F6CCE" w:rsidRPr="00D20299" w:rsidRDefault="000F6CCE" w:rsidP="00F63DA4">
      <w:pPr>
        <w:pStyle w:val="Paragrafoelenco"/>
        <w:numPr>
          <w:ilvl w:val="0"/>
          <w:numId w:val="22"/>
        </w:numPr>
        <w:ind w:left="284" w:hanging="284"/>
      </w:pPr>
      <w:proofErr w:type="spellStart"/>
      <w:r w:rsidRPr="00D20299">
        <w:t>Iveta</w:t>
      </w:r>
      <w:proofErr w:type="spellEnd"/>
      <w:r w:rsidRPr="00D20299">
        <w:t xml:space="preserve"> </w:t>
      </w:r>
      <w:proofErr w:type="spellStart"/>
      <w:r w:rsidRPr="00D20299">
        <w:t>Radicova</w:t>
      </w:r>
      <w:proofErr w:type="spellEnd"/>
      <w:r w:rsidRPr="00D20299">
        <w:t xml:space="preserve"> (SK) - Coordinatrice del Corridoio Mediterraneo</w:t>
      </w:r>
      <w:r w:rsidR="0037642B">
        <w:t>.</w:t>
      </w:r>
      <w:r w:rsidRPr="00D20299">
        <w:t xml:space="preserve"> </w:t>
      </w:r>
    </w:p>
    <w:p w14:paraId="6A7B4D4C" w14:textId="77777777" w:rsidR="000F6CCE" w:rsidRPr="00D20299" w:rsidRDefault="000F6CCE" w:rsidP="000F6CCE">
      <w:pPr>
        <w:ind w:firstLine="709"/>
      </w:pPr>
      <w:r w:rsidRPr="00D20299">
        <w:t xml:space="preserve">Due Coordinatori supplementari sono designati per </w:t>
      </w:r>
      <w:r w:rsidR="00AD249F" w:rsidRPr="00D20299">
        <w:t>due</w:t>
      </w:r>
      <w:r w:rsidRPr="00D20299">
        <w:t xml:space="preserve"> priorità orizzontali: </w:t>
      </w:r>
    </w:p>
    <w:p w14:paraId="17515027" w14:textId="77777777" w:rsidR="000F6CCE" w:rsidRPr="00D20299" w:rsidRDefault="000F6CCE" w:rsidP="00F63DA4">
      <w:pPr>
        <w:ind w:left="284" w:hanging="284"/>
        <w:jc w:val="both"/>
        <w:rPr>
          <w:rFonts w:eastAsia="Times New Roman" w:cs="Times New Roman"/>
        </w:rPr>
      </w:pPr>
      <w:r w:rsidRPr="00D20299">
        <w:t>•</w:t>
      </w:r>
      <w:r w:rsidRPr="00D20299">
        <w:tab/>
      </w:r>
      <w:r w:rsidRPr="00D20299">
        <w:rPr>
          <w:rFonts w:eastAsia="Times New Roman" w:cs="Times New Roman"/>
        </w:rPr>
        <w:t xml:space="preserve">Matthias </w:t>
      </w:r>
      <w:proofErr w:type="spellStart"/>
      <w:r w:rsidRPr="00D20299">
        <w:rPr>
          <w:rFonts w:eastAsia="Times New Roman" w:cs="Times New Roman"/>
        </w:rPr>
        <w:t>Ruete</w:t>
      </w:r>
      <w:proofErr w:type="spellEnd"/>
      <w:r w:rsidRPr="00D20299">
        <w:rPr>
          <w:rFonts w:eastAsia="Times New Roman" w:cs="Times New Roman"/>
        </w:rPr>
        <w:t xml:space="preserve"> (DE) - Coordinatore per il sistema ERTMS;</w:t>
      </w:r>
    </w:p>
    <w:p w14:paraId="257C9F18" w14:textId="77777777" w:rsidR="000F6CCE" w:rsidRPr="00D20299" w:rsidRDefault="000F6CCE" w:rsidP="00F63DA4">
      <w:pPr>
        <w:ind w:left="284" w:hanging="284"/>
        <w:jc w:val="both"/>
      </w:pPr>
      <w:r w:rsidRPr="00D20299">
        <w:t>•</w:t>
      </w:r>
      <w:r w:rsidRPr="00D20299">
        <w:tab/>
        <w:t xml:space="preserve">Kurt </w:t>
      </w:r>
      <w:proofErr w:type="spellStart"/>
      <w:r w:rsidRPr="00D20299">
        <w:t>Bodewig</w:t>
      </w:r>
      <w:proofErr w:type="spellEnd"/>
      <w:r w:rsidRPr="00D20299">
        <w:t xml:space="preserve"> (DE) - Coordinatore per le Autostrade del Mare (</w:t>
      </w:r>
      <w:proofErr w:type="spellStart"/>
      <w:r w:rsidRPr="00D20299">
        <w:rPr>
          <w:i/>
        </w:rPr>
        <w:t>Motorways</w:t>
      </w:r>
      <w:proofErr w:type="spellEnd"/>
      <w:r w:rsidRPr="00D20299">
        <w:rPr>
          <w:i/>
        </w:rPr>
        <w:t xml:space="preserve"> of the Sea</w:t>
      </w:r>
      <w:r w:rsidRPr="00D20299">
        <w:t>).</w:t>
      </w:r>
    </w:p>
    <w:p w14:paraId="38F014AA" w14:textId="77777777" w:rsidR="000F6CCE" w:rsidRDefault="00FB258A" w:rsidP="00F63DA4">
      <w:pPr>
        <w:ind w:firstLine="708"/>
        <w:jc w:val="both"/>
      </w:pPr>
      <w:r w:rsidRPr="00F63DA4">
        <w:t xml:space="preserve">La </w:t>
      </w:r>
      <w:proofErr w:type="gramStart"/>
      <w:r w:rsidRPr="00F63DA4">
        <w:t>14^</w:t>
      </w:r>
      <w:proofErr w:type="gramEnd"/>
      <w:r w:rsidRPr="00F63DA4">
        <w:t xml:space="preserve"> sessione delle riunioni dei Fora di Corridoio che interessano l’Italia si è svolta dal 17 al 21 Novembre 2019 a Bruxelles</w:t>
      </w:r>
      <w:r w:rsidRPr="00D20299">
        <w:t xml:space="preserve">. </w:t>
      </w:r>
      <w:r w:rsidR="000F6CCE" w:rsidRPr="00D20299">
        <w:t>I</w:t>
      </w:r>
      <w:r w:rsidR="000F6CCE">
        <w:t xml:space="preserve"> paragrafi che seguono riassumono le principali informazioni e gli aspetti rilevanti dei Corridoi e delle priorità orizzontali che interessano l’Italia.</w:t>
      </w:r>
    </w:p>
    <w:p w14:paraId="6D559965" w14:textId="77777777" w:rsidR="00C5780C" w:rsidRDefault="00C5780C" w:rsidP="006C4718">
      <w:pPr>
        <w:ind w:firstLine="567"/>
        <w:jc w:val="both"/>
      </w:pPr>
    </w:p>
    <w:p w14:paraId="07EA9727" w14:textId="77777777" w:rsidR="00C05CB9" w:rsidRDefault="00C05CB9" w:rsidP="00C05CB9">
      <w:pPr>
        <w:rPr>
          <w:b/>
          <w:bCs/>
        </w:rPr>
      </w:pPr>
      <w:r>
        <w:rPr>
          <w:b/>
          <w:bCs/>
        </w:rPr>
        <w:t>Figura XI.2.1 - Corridoi della rete centrale</w:t>
      </w:r>
      <w:r w:rsidR="00C5780C">
        <w:rPr>
          <w:b/>
          <w:bCs/>
        </w:rPr>
        <w:t xml:space="preserve"> e potenziale estensione ai</w:t>
      </w:r>
      <w:r w:rsidR="00C5780C" w:rsidRPr="00BB1735">
        <w:rPr>
          <w:b/>
          <w:bCs/>
        </w:rPr>
        <w:t xml:space="preserve"> Paesi dei Balcani Occidentali</w:t>
      </w:r>
    </w:p>
    <w:p w14:paraId="4DB57687" w14:textId="77777777" w:rsidR="00385BD4" w:rsidRDefault="00385BD4" w:rsidP="003E6C9A">
      <w:pPr>
        <w:pStyle w:val="Paragrafoelenco"/>
        <w:ind w:left="1428"/>
        <w:rPr>
          <w:rFonts w:eastAsia="Arial Unicode MS" w:cs="Arial Unicode MS"/>
        </w:rPr>
      </w:pPr>
    </w:p>
    <w:p w14:paraId="4590FE32" w14:textId="77777777" w:rsidR="003E6C9A" w:rsidRDefault="003E6C9A" w:rsidP="003E6C9A">
      <w:pPr>
        <w:pStyle w:val="Paragrafoelenco"/>
        <w:ind w:left="1428"/>
        <w:rPr>
          <w:sz w:val="4"/>
          <w:szCs w:val="4"/>
          <w:lang w:val="fr-FR"/>
        </w:rPr>
      </w:pPr>
    </w:p>
    <w:p w14:paraId="6674A63E" w14:textId="77777777" w:rsidR="00D93A7C" w:rsidRPr="00787FDD" w:rsidRDefault="00C05CB9" w:rsidP="00C05CB9">
      <w:pPr>
        <w:jc w:val="both"/>
        <w:rPr>
          <w:lang w:val="en-US"/>
        </w:rPr>
      </w:pPr>
      <w:r>
        <w:rPr>
          <w:noProof/>
        </w:rPr>
        <w:drawing>
          <wp:inline distT="0" distB="0" distL="0" distR="0" wp14:anchorId="556A4B54" wp14:editId="69D8A743">
            <wp:extent cx="4207674" cy="3243532"/>
            <wp:effectExtent l="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07674" cy="3243532"/>
                    </a:xfrm>
                    <a:prstGeom prst="rect">
                      <a:avLst/>
                    </a:prstGeom>
                  </pic:spPr>
                </pic:pic>
              </a:graphicData>
            </a:graphic>
          </wp:inline>
        </w:drawing>
      </w:r>
      <w:r w:rsidR="003E6C9A" w:rsidRPr="00787FDD">
        <w:rPr>
          <w:noProof/>
          <w:lang w:val="en-US"/>
        </w:rPr>
        <w:t xml:space="preserve">    </w:t>
      </w:r>
      <w:r w:rsidR="003E6C9A">
        <w:rPr>
          <w:noProof/>
        </w:rPr>
        <w:drawing>
          <wp:inline distT="0" distB="0" distL="0" distR="0" wp14:anchorId="379595B3" wp14:editId="009CBE23">
            <wp:extent cx="2165230" cy="2320506"/>
            <wp:effectExtent l="0" t="0" r="6985" b="3810"/>
            <wp:docPr id="3" name="officeArt object"/>
            <wp:cNvGraphicFramePr/>
            <a:graphic xmlns:a="http://schemas.openxmlformats.org/drawingml/2006/main">
              <a:graphicData uri="http://schemas.openxmlformats.org/drawingml/2006/picture">
                <pic:pic xmlns:pic="http://schemas.openxmlformats.org/drawingml/2006/picture">
                  <pic:nvPicPr>
                    <pic:cNvPr id="1073741827" name="image5.jpeg"/>
                    <pic:cNvPicPr>
                      <a:picLocks noChangeAspect="1"/>
                    </pic:cNvPicPr>
                  </pic:nvPicPr>
                  <pic:blipFill>
                    <a:blip r:embed="rId9"/>
                    <a:stretch>
                      <a:fillRect/>
                    </a:stretch>
                  </pic:blipFill>
                  <pic:spPr>
                    <a:xfrm>
                      <a:off x="0" y="0"/>
                      <a:ext cx="2165230" cy="2320506"/>
                    </a:xfrm>
                    <a:prstGeom prst="rect">
                      <a:avLst/>
                    </a:prstGeom>
                    <a:ln w="12700" cap="flat">
                      <a:noFill/>
                      <a:miter lim="400000"/>
                    </a:ln>
                    <a:effectLst/>
                  </pic:spPr>
                </pic:pic>
              </a:graphicData>
            </a:graphic>
          </wp:inline>
        </w:drawing>
      </w:r>
    </w:p>
    <w:p w14:paraId="241A8FD0" w14:textId="77777777" w:rsidR="00C05CB9" w:rsidRPr="00C05CB9" w:rsidRDefault="00C05CB9" w:rsidP="00C5780C">
      <w:pPr>
        <w:tabs>
          <w:tab w:val="left" w:pos="6946"/>
        </w:tabs>
        <w:jc w:val="both"/>
        <w:rPr>
          <w:b/>
          <w:bCs/>
          <w:sz w:val="18"/>
          <w:szCs w:val="18"/>
        </w:rPr>
      </w:pPr>
      <w:proofErr w:type="gramStart"/>
      <w:r w:rsidRPr="00C05CB9">
        <w:rPr>
          <w:i/>
          <w:iCs/>
          <w:sz w:val="18"/>
          <w:szCs w:val="18"/>
          <w:lang w:val="fr-FR"/>
        </w:rPr>
        <w:t>Fonte</w:t>
      </w:r>
      <w:r w:rsidRPr="00C05CB9">
        <w:rPr>
          <w:sz w:val="18"/>
          <w:szCs w:val="18"/>
          <w:lang w:val="fr-FR"/>
        </w:rPr>
        <w:t>:</w:t>
      </w:r>
      <w:proofErr w:type="gramEnd"/>
      <w:r w:rsidRPr="00C05CB9">
        <w:rPr>
          <w:sz w:val="18"/>
          <w:szCs w:val="18"/>
          <w:lang w:val="fr-FR"/>
        </w:rPr>
        <w:t xml:space="preserve"> </w:t>
      </w:r>
      <w:proofErr w:type="spellStart"/>
      <w:r w:rsidRPr="00C05CB9">
        <w:rPr>
          <w:sz w:val="18"/>
          <w:szCs w:val="18"/>
          <w:lang w:val="fr-FR"/>
        </w:rPr>
        <w:t>Sito</w:t>
      </w:r>
      <w:proofErr w:type="spellEnd"/>
      <w:r w:rsidRPr="00C05CB9">
        <w:rPr>
          <w:sz w:val="18"/>
          <w:szCs w:val="18"/>
          <w:lang w:val="fr-FR"/>
        </w:rPr>
        <w:t xml:space="preserve"> INEA</w:t>
      </w:r>
      <w:r w:rsidR="003422B5">
        <w:rPr>
          <w:sz w:val="18"/>
          <w:szCs w:val="18"/>
          <w:lang w:val="fr-FR"/>
        </w:rPr>
        <w:t xml:space="preserve"> (</w:t>
      </w:r>
      <w:r w:rsidR="003422B5" w:rsidRPr="00E9537E">
        <w:rPr>
          <w:rFonts w:eastAsia="Times New Roman" w:cs="Times New Roman"/>
          <w:i/>
          <w:iCs/>
          <w:color w:val="auto"/>
          <w:sz w:val="18"/>
          <w:szCs w:val="18"/>
          <w:bdr w:val="none" w:sz="0" w:space="0" w:color="auto"/>
          <w:lang w:val="en-US" w:eastAsia="en-GB"/>
        </w:rPr>
        <w:t>Innovation and Networks Executive Agency)</w:t>
      </w:r>
      <w:r w:rsidRPr="00C05CB9">
        <w:rPr>
          <w:sz w:val="18"/>
          <w:szCs w:val="18"/>
          <w:lang w:val="fr-FR"/>
        </w:rPr>
        <w:t>, 2019.</w:t>
      </w:r>
      <w:r w:rsidR="00C5780C">
        <w:rPr>
          <w:sz w:val="18"/>
          <w:szCs w:val="18"/>
          <w:lang w:val="fr-FR"/>
        </w:rPr>
        <w:tab/>
      </w:r>
      <w:proofErr w:type="gramStart"/>
      <w:r w:rsidR="00C5780C" w:rsidRPr="00C05CB9">
        <w:rPr>
          <w:i/>
          <w:iCs/>
          <w:sz w:val="18"/>
          <w:szCs w:val="18"/>
          <w:lang w:val="fr-FR"/>
        </w:rPr>
        <w:t>Fonte</w:t>
      </w:r>
      <w:r w:rsidR="00C5780C" w:rsidRPr="00C05CB9">
        <w:rPr>
          <w:sz w:val="18"/>
          <w:szCs w:val="18"/>
          <w:lang w:val="fr-FR"/>
        </w:rPr>
        <w:t>:</w:t>
      </w:r>
      <w:proofErr w:type="gramEnd"/>
      <w:r w:rsidR="00C5780C" w:rsidRPr="00C05CB9">
        <w:rPr>
          <w:sz w:val="18"/>
          <w:szCs w:val="18"/>
          <w:lang w:val="fr-FR"/>
        </w:rPr>
        <w:t xml:space="preserve"> </w:t>
      </w:r>
      <w:r w:rsidR="00C5780C">
        <w:rPr>
          <w:sz w:val="18"/>
          <w:szCs w:val="18"/>
          <w:lang w:val="fr-FR"/>
        </w:rPr>
        <w:t>WB6</w:t>
      </w:r>
      <w:r w:rsidR="00945027">
        <w:rPr>
          <w:sz w:val="18"/>
          <w:szCs w:val="18"/>
          <w:lang w:val="fr-FR"/>
        </w:rPr>
        <w:t>.</w:t>
      </w:r>
    </w:p>
    <w:p w14:paraId="2A0BD8A2" w14:textId="77777777" w:rsidR="00C05CB9" w:rsidRDefault="00C05CB9" w:rsidP="006C4718">
      <w:pPr>
        <w:jc w:val="both"/>
        <w:rPr>
          <w:b/>
          <w:bCs/>
        </w:rPr>
      </w:pPr>
    </w:p>
    <w:p w14:paraId="23828FED" w14:textId="77777777" w:rsidR="00C05CB9" w:rsidRDefault="00C05CB9" w:rsidP="006C4718">
      <w:pPr>
        <w:jc w:val="both"/>
        <w:rPr>
          <w:b/>
          <w:bCs/>
        </w:rPr>
      </w:pPr>
    </w:p>
    <w:p w14:paraId="62D83F1A" w14:textId="77777777" w:rsidR="00385BD4" w:rsidRDefault="00C6166A" w:rsidP="006C4718">
      <w:pPr>
        <w:jc w:val="both"/>
        <w:rPr>
          <w:b/>
          <w:bCs/>
        </w:rPr>
      </w:pPr>
      <w:r>
        <w:rPr>
          <w:b/>
          <w:bCs/>
        </w:rPr>
        <w:t>Corridoio Baltico</w:t>
      </w:r>
      <w:r w:rsidRPr="00126510">
        <w:rPr>
          <w:b/>
          <w:bCs/>
        </w:rPr>
        <w:t xml:space="preserve">-Adriatico </w:t>
      </w:r>
    </w:p>
    <w:p w14:paraId="1CF9B7A4" w14:textId="77777777" w:rsidR="0044165A" w:rsidRDefault="0044165A" w:rsidP="006C4718">
      <w:pPr>
        <w:jc w:val="both"/>
        <w:rPr>
          <w:b/>
          <w:bCs/>
        </w:rPr>
      </w:pPr>
    </w:p>
    <w:p w14:paraId="3306D756" w14:textId="77777777" w:rsidR="004B6F4D" w:rsidRDefault="004B6F4D" w:rsidP="004B6F4D">
      <w:pPr>
        <w:ind w:firstLine="708"/>
        <w:jc w:val="both"/>
      </w:pPr>
      <w:r>
        <w:t xml:space="preserve">Il Corridoio si estende dai porti del Mar Baltico (Gdansk, Gdynia, Szczecin e </w:t>
      </w:r>
      <w:proofErr w:type="spellStart"/>
      <w:r>
        <w:t>Świnoujście</w:t>
      </w:r>
      <w:proofErr w:type="spellEnd"/>
      <w:r>
        <w:t>) a quelli dell’Adriatico Centro-Settentrionale (</w:t>
      </w:r>
      <w:r w:rsidR="00B76C6E">
        <w:t>Capodistria</w:t>
      </w:r>
      <w:r>
        <w:t>, Trieste, Venezia e Ravenna) attraversando</w:t>
      </w:r>
      <w:r w:rsidR="003E7797">
        <w:t>,</w:t>
      </w:r>
      <w:r>
        <w:t xml:space="preserve"> nel complesso</w:t>
      </w:r>
      <w:r w:rsidR="003E7797">
        <w:t>,</w:t>
      </w:r>
      <w:r>
        <w:t xml:space="preserve"> sei Stati membri (Austria, Italia, Polonia, Repubblica Ceca, Repubblica Slovacca e Repubblica Slovena).</w:t>
      </w:r>
    </w:p>
    <w:p w14:paraId="287FC008" w14:textId="77777777" w:rsidR="004B6F4D" w:rsidRDefault="004B6F4D" w:rsidP="004B6F4D">
      <w:pPr>
        <w:ind w:firstLine="708"/>
        <w:jc w:val="both"/>
      </w:pPr>
      <w:r>
        <w:t xml:space="preserve">In Austria figurano alcuni rilevanti progetti ferroviari quali il tunnel di base del </w:t>
      </w:r>
      <w:proofErr w:type="spellStart"/>
      <w:r>
        <w:t>Semmering</w:t>
      </w:r>
      <w:proofErr w:type="spellEnd"/>
      <w:r>
        <w:t xml:space="preserve"> e la linea </w:t>
      </w:r>
      <w:proofErr w:type="spellStart"/>
      <w:r>
        <w:t>Koralm</w:t>
      </w:r>
      <w:proofErr w:type="spellEnd"/>
      <w:r>
        <w:t>; in Italia, il Corridoio interessa principalmente il Nord-Est (</w:t>
      </w:r>
      <w:proofErr w:type="gramStart"/>
      <w:r>
        <w:t>Friuli Venezia Giulia</w:t>
      </w:r>
      <w:proofErr w:type="gramEnd"/>
      <w:r>
        <w:t>, Veneto e parte dell’Emilia Romagna) e tra i principali interventi si evidenzia l'adeguamento della tratta ferroviaria Udine-Cervignano-Trieste nonché quello della tratta transfrontaliera Trieste-</w:t>
      </w:r>
      <w:proofErr w:type="spellStart"/>
      <w:r>
        <w:t>Divaccia</w:t>
      </w:r>
      <w:proofErr w:type="spellEnd"/>
      <w:r>
        <w:t xml:space="preserve"> ma anche soluzioni di sviluppo del sistema portuale dell’Alto Adriatico. </w:t>
      </w:r>
    </w:p>
    <w:p w14:paraId="47F6B8D0" w14:textId="77777777" w:rsidR="004B6F4D" w:rsidRDefault="004B6F4D" w:rsidP="004B6F4D">
      <w:pPr>
        <w:ind w:firstLine="708"/>
        <w:jc w:val="both"/>
      </w:pPr>
      <w:r>
        <w:t xml:space="preserve">In ambito transfrontaliero, è in corso l’adeguamento della linea ferroviaria esistente tra Aurisina, lato Italia, e </w:t>
      </w:r>
      <w:proofErr w:type="spellStart"/>
      <w:r>
        <w:t>Divaccia</w:t>
      </w:r>
      <w:proofErr w:type="spellEnd"/>
      <w:r>
        <w:t>, lato Slovenia, tratta peraltro in comune con il Corridoio Mediterraneo, per cui le parti slovena e italiana hanno commissi</w:t>
      </w:r>
      <w:r w:rsidR="008A178A">
        <w:t xml:space="preserve">onato un progetto definitivo per </w:t>
      </w:r>
      <w:r>
        <w:t>l’adeguamento della linea esistente Trieste-</w:t>
      </w:r>
      <w:proofErr w:type="spellStart"/>
      <w:r>
        <w:t>Divaccia</w:t>
      </w:r>
      <w:proofErr w:type="spellEnd"/>
      <w:r>
        <w:t>, ciascuna per il proprio tratto</w:t>
      </w:r>
      <w:r w:rsidR="008A178A">
        <w:t xml:space="preserve"> di competenza</w:t>
      </w:r>
      <w:r>
        <w:t>.</w:t>
      </w:r>
    </w:p>
    <w:p w14:paraId="5F1CEF75" w14:textId="77777777" w:rsidR="004B6F4D" w:rsidRDefault="004B6F4D" w:rsidP="004B6F4D">
      <w:pPr>
        <w:ind w:firstLine="708"/>
        <w:jc w:val="both"/>
      </w:pPr>
      <w:r>
        <w:t>L’adeguamento è di natura principalmente tecnologica in entrambe le tratte e prevede il raggiungimento degli standard previsti dalle Specifiche Tecniche di Interoperabilità per le linee esistenti ed una velocità prossima ai 100 km/h. Il GEIE (Gruppo Europeo di Interesse Economico) coordina le attività, risolve le problematiche generali e tecnico-amministrative e le questioni aperte.</w:t>
      </w:r>
    </w:p>
    <w:p w14:paraId="741B4AEB" w14:textId="77777777" w:rsidR="004B6F4D" w:rsidRDefault="004B6F4D" w:rsidP="004B6F4D">
      <w:pPr>
        <w:ind w:firstLine="708"/>
        <w:jc w:val="both"/>
      </w:pPr>
      <w:r>
        <w:lastRenderedPageBreak/>
        <w:t xml:space="preserve">Per quanto attiene la sezione italiana, il progetto definitivo per il tracciato su territorio italiano è stato concluso a giugno 2018. Inoltre, </w:t>
      </w:r>
      <w:r w:rsidR="008A178A">
        <w:t xml:space="preserve">dal 9 </w:t>
      </w:r>
      <w:proofErr w:type="gramStart"/>
      <w:r w:rsidR="008A178A">
        <w:t>Settembre</w:t>
      </w:r>
      <w:proofErr w:type="gramEnd"/>
      <w:r w:rsidR="008A178A">
        <w:t xml:space="preserve"> 2018 è attivo un</w:t>
      </w:r>
      <w:r>
        <w:t xml:space="preserve"> nuovo servizio ferroviario passeggeri transfrontaliero Italia - Slovenia, con quattro treni al giorno che collegano Trieste e Lubiana, due dei quali con fermata anche alla nuova stazione dell’aeroporto di Trieste verso Udine. Nel corso del 2019 si sono portate avanti azioni congiunte per la risoluzione delle problematiche legate alla gestione dell</w:t>
      </w:r>
      <w:r w:rsidR="00E25B9E">
        <w:t>’</w:t>
      </w:r>
      <w:r>
        <w:t xml:space="preserve">esercizio ferroviario nelle tratte di confine, con il raggiungimento della soluzione nei primi mesi del 2020. A questo riguardo si segnala che a fine marzo 2020 l’Agenzia Nazionale per la Sicurezza Ferroviaria ha rilasciato l’autorizzazione per la messa in servizio del blocco tra Villa </w:t>
      </w:r>
      <w:proofErr w:type="spellStart"/>
      <w:r>
        <w:t>Opicina</w:t>
      </w:r>
      <w:proofErr w:type="spellEnd"/>
      <w:r>
        <w:t xml:space="preserve"> e Sezana la cui attivazione è programmata per il 29 maggio 2020.</w:t>
      </w:r>
    </w:p>
    <w:p w14:paraId="56161D65" w14:textId="77777777" w:rsidR="004B6F4D" w:rsidRDefault="004B6F4D" w:rsidP="004B6F4D">
      <w:pPr>
        <w:ind w:firstLine="708"/>
        <w:jc w:val="both"/>
      </w:pPr>
    </w:p>
    <w:p w14:paraId="297287A1" w14:textId="77777777" w:rsidR="00385BD4" w:rsidRDefault="00C6166A" w:rsidP="006C4718">
      <w:pPr>
        <w:jc w:val="both"/>
        <w:rPr>
          <w:b/>
          <w:bCs/>
        </w:rPr>
      </w:pPr>
      <w:r>
        <w:rPr>
          <w:b/>
          <w:bCs/>
        </w:rPr>
        <w:t>Corridoio Mediterraneo</w:t>
      </w:r>
    </w:p>
    <w:p w14:paraId="29CA0075" w14:textId="77777777" w:rsidR="0044165A" w:rsidRDefault="0044165A" w:rsidP="006C4718">
      <w:pPr>
        <w:jc w:val="both"/>
        <w:rPr>
          <w:b/>
          <w:bCs/>
        </w:rPr>
      </w:pPr>
    </w:p>
    <w:p w14:paraId="45806198" w14:textId="77777777" w:rsidR="004B6F4D" w:rsidRDefault="004B6F4D" w:rsidP="004B6F4D">
      <w:pPr>
        <w:ind w:firstLine="709"/>
        <w:jc w:val="both"/>
      </w:pPr>
      <w:r>
        <w:t>Il Corridoio unisce i confini dell’Ucraina con la Spagna, passando attraverso Croazia, Francia, Italia, Slovenia ed Ungheria. Alle principali modalità ferroviarie e stradali, si aggiungono, in questo caso, le vie navigabili con particolare riferimento a quelle italiane e francesi.</w:t>
      </w:r>
    </w:p>
    <w:p w14:paraId="692CDCEF" w14:textId="77777777" w:rsidR="004B6F4D" w:rsidRDefault="004B6F4D" w:rsidP="004B6F4D">
      <w:pPr>
        <w:ind w:firstLine="709"/>
        <w:jc w:val="both"/>
      </w:pPr>
      <w:r>
        <w:t xml:space="preserve">La maggior parte delle Regioni del Nord Italia è interessata dal passaggio di questo Corridoio (Piemonte, Lombardia, parte </w:t>
      </w:r>
      <w:proofErr w:type="gramStart"/>
      <w:r>
        <w:t>dell’Emilia Romagna</w:t>
      </w:r>
      <w:proofErr w:type="gramEnd"/>
      <w:r>
        <w:t xml:space="preserve">, Veneto e Friuli Venezia Giulia) </w:t>
      </w:r>
      <w:r w:rsidR="00E25B9E">
        <w:t xml:space="preserve">che </w:t>
      </w:r>
      <w:r>
        <w:t>interseca anche gli altri tre Corridoi europei di rilevanza per l’Italia.</w:t>
      </w:r>
    </w:p>
    <w:p w14:paraId="7924990F" w14:textId="77777777" w:rsidR="004B6F4D" w:rsidRDefault="004B6F4D" w:rsidP="004B6F4D">
      <w:pPr>
        <w:ind w:firstLine="709"/>
        <w:jc w:val="both"/>
      </w:pPr>
      <w:r>
        <w:t>Gli interventi previsti interessano la sezione transfrontaliera ferroviaria Lione-Torino (si veda il box di approfondimento n.</w:t>
      </w:r>
      <w:r w:rsidR="00E25B9E">
        <w:t xml:space="preserve"> </w:t>
      </w:r>
      <w:r>
        <w:t>1), quelli sulla linea di accesso Milano-Brescia-Venezia-Trieste e, data la parziale sovrapposizione con il Corridoio Baltico-Adriatico, quelli relativi alla riqualificazione del tracciato della sezione transfrontaliera Trieste-</w:t>
      </w:r>
      <w:proofErr w:type="spellStart"/>
      <w:r>
        <w:t>Divaccia</w:t>
      </w:r>
      <w:proofErr w:type="spellEnd"/>
      <w:r>
        <w:t>. Per quanto attiene alle vie di navigazione interna, invece, particolare rilevanza hanno gli studi e i lavori per l’asta fluviale Milano-Cremona-Mantova-Porto Levante/Venezia-Ravenna/Trieste.</w:t>
      </w:r>
    </w:p>
    <w:p w14:paraId="0C10C54B" w14:textId="77777777" w:rsidR="004B6F4D" w:rsidRDefault="004B6F4D" w:rsidP="00F63DA4">
      <w:pPr>
        <w:ind w:firstLine="709"/>
        <w:jc w:val="both"/>
      </w:pPr>
      <w:r>
        <w:t>Nell’ambito della proposta per la nuova versione del Regolamento (UE) n.</w:t>
      </w:r>
      <w:r w:rsidR="00171D9E">
        <w:t xml:space="preserve"> </w:t>
      </w:r>
      <w:r>
        <w:t>1316/13 per il periodo 2021-2027,</w:t>
      </w:r>
      <w:r w:rsidR="00E25B9E">
        <w:t xml:space="preserve"> </w:t>
      </w:r>
      <w:r>
        <w:t>la cui fine del negoziato è attesa entro la fine del 2020</w:t>
      </w:r>
      <w:r w:rsidR="008A178A">
        <w:t>,</w:t>
      </w:r>
      <w:r>
        <w:t xml:space="preserve"> per consentirne l’adozione dal 1° gennaio 2021, è stata recepita la richiesta di inclusione </w:t>
      </w:r>
      <w:r w:rsidR="008A178A">
        <w:t xml:space="preserve">lungo il Corridoio Mediterraneo </w:t>
      </w:r>
      <w:r>
        <w:t xml:space="preserve">sia della sezione </w:t>
      </w:r>
      <w:r w:rsidRPr="008A178A">
        <w:rPr>
          <w:i/>
        </w:rPr>
        <w:t>Core</w:t>
      </w:r>
      <w:r>
        <w:t xml:space="preserve"> “Nizza- Ventimiglia” come sezione ferroviaria transfrontaliera nell’arco di Corridoio Marsiglia-Genova, sia la sezione multimodale “Genova-La Spezia” che completa l’arco ligure precedentemente incluso da Ventimiglia a Genova. Sono state altresì recepite l’inclusione della sezione multimodale “Bologna-Milano”, l’inclusione tra le sezioni transfrontaliere delle tratte di accesso alla Torino Lione e il prolungamento della tratta transfro</w:t>
      </w:r>
      <w:r w:rsidR="00662F89">
        <w:t>ntaliera ferroviaria “Trieste-</w:t>
      </w:r>
      <w:proofErr w:type="spellStart"/>
      <w:r>
        <w:t>Divaccia</w:t>
      </w:r>
      <w:proofErr w:type="spellEnd"/>
      <w:r>
        <w:t xml:space="preserve">” verso ovest fino al nodo di Venezia, tratta in comune con il Corridoio Baltico-Adriatico. </w:t>
      </w:r>
    </w:p>
    <w:p w14:paraId="7A6D9700" w14:textId="77777777" w:rsidR="00790AAC" w:rsidRDefault="00790AAC" w:rsidP="00790AAC">
      <w:pPr>
        <w:rPr>
          <w:color w:val="auto"/>
          <w:highlight w:val="yellow"/>
        </w:rPr>
      </w:pPr>
    </w:p>
    <w:p w14:paraId="5946C326" w14:textId="77777777" w:rsidR="0037642B" w:rsidRPr="00D65C93" w:rsidRDefault="00790AAC" w:rsidP="00D65C93">
      <w:pPr>
        <w:pBdr>
          <w:top w:val="single" w:sz="4" w:space="1" w:color="auto"/>
          <w:left w:val="single" w:sz="4" w:space="1" w:color="auto"/>
          <w:bottom w:val="single" w:sz="4" w:space="1" w:color="auto"/>
          <w:right w:val="single" w:sz="4" w:space="1" w:color="auto"/>
        </w:pBdr>
        <w:spacing w:after="120"/>
        <w:jc w:val="both"/>
        <w:rPr>
          <w:b/>
          <w:bCs/>
          <w:sz w:val="22"/>
          <w:szCs w:val="22"/>
        </w:rPr>
      </w:pPr>
      <w:r w:rsidRPr="00D65C93">
        <w:rPr>
          <w:b/>
          <w:bCs/>
          <w:sz w:val="22"/>
          <w:szCs w:val="22"/>
        </w:rPr>
        <w:t>Box di approfondimento n.</w:t>
      </w:r>
      <w:r w:rsidR="005D33C1" w:rsidRPr="00D65C93">
        <w:rPr>
          <w:b/>
          <w:bCs/>
          <w:sz w:val="22"/>
          <w:szCs w:val="22"/>
        </w:rPr>
        <w:t xml:space="preserve"> </w:t>
      </w:r>
      <w:r w:rsidR="007F1ABE" w:rsidRPr="00D65C93">
        <w:rPr>
          <w:b/>
          <w:bCs/>
          <w:sz w:val="22"/>
          <w:szCs w:val="22"/>
        </w:rPr>
        <w:t>1</w:t>
      </w:r>
      <w:r w:rsidR="00116391">
        <w:rPr>
          <w:b/>
          <w:bCs/>
          <w:sz w:val="22"/>
          <w:szCs w:val="22"/>
        </w:rPr>
        <w:t xml:space="preserve"> </w:t>
      </w:r>
      <w:proofErr w:type="gramStart"/>
      <w:r w:rsidR="00116391">
        <w:rPr>
          <w:b/>
          <w:bCs/>
          <w:sz w:val="22"/>
          <w:szCs w:val="22"/>
        </w:rPr>
        <w:t xml:space="preserve">- </w:t>
      </w:r>
      <w:r w:rsidR="00D65C93" w:rsidRPr="00D65C93">
        <w:rPr>
          <w:b/>
          <w:bCs/>
          <w:sz w:val="22"/>
          <w:szCs w:val="22"/>
        </w:rPr>
        <w:t xml:space="preserve"> “</w:t>
      </w:r>
      <w:proofErr w:type="gramEnd"/>
      <w:r w:rsidR="007F1ABE" w:rsidRPr="00D65C93">
        <w:rPr>
          <w:b/>
          <w:bCs/>
          <w:sz w:val="22"/>
          <w:szCs w:val="22"/>
        </w:rPr>
        <w:t>La nuova linea ferroviaria Torino-Lione</w:t>
      </w:r>
      <w:r w:rsidR="00D65C93" w:rsidRPr="00D65C93">
        <w:rPr>
          <w:b/>
          <w:bCs/>
          <w:sz w:val="22"/>
          <w:szCs w:val="22"/>
        </w:rPr>
        <w:t>”</w:t>
      </w:r>
    </w:p>
    <w:p w14:paraId="0AB9753B" w14:textId="77777777" w:rsidR="005D33C1" w:rsidRPr="00F63DA4" w:rsidRDefault="005D33C1" w:rsidP="005D33C1">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F63DA4">
        <w:rPr>
          <w:rFonts w:cs="Times New Roman"/>
          <w:iCs/>
          <w:sz w:val="22"/>
          <w:szCs w:val="22"/>
        </w:rPr>
        <w:t>Il</w:t>
      </w:r>
      <w:r w:rsidR="0037642B" w:rsidRPr="00F63DA4">
        <w:rPr>
          <w:rFonts w:cs="Times New Roman"/>
          <w:iCs/>
          <w:sz w:val="22"/>
          <w:szCs w:val="22"/>
        </w:rPr>
        <w:t xml:space="preserve"> </w:t>
      </w:r>
      <w:r w:rsidRPr="00F63DA4">
        <w:rPr>
          <w:rFonts w:cs="Times New Roman"/>
          <w:iCs/>
          <w:sz w:val="22"/>
          <w:szCs w:val="22"/>
        </w:rPr>
        <w:t>collegamento ferroviario Torino-Lione è parte integrante del corridoio Mediterraneo, ovvero del principale asse europeo est-ovest, ed è una linea ferroviaria per merci e passeggeri che si estende per 270 km, di cui il 70% in Francia e il 30% in Italia. La sezione transfrontaliera si estende per 65 km tra Susa/Bussoleno in Italia e Saint-Jean-de Maurienne in Francia e si sviluppa per l’89% in galleria. Il promotore pubblico incaricato di realizzare e poi gestire la sezione transfrontaliera della Torino-Lione è la Tunnel Euralpin Lyon Turin, società di diritto francese partecipata al 50% dalle Ferrovie dello Stato italiane e dal Ministero dell’Economia francese. Per quanto attiene alle attività realizzative, nel corso del 2019 è stato completato lo scavo di una prima sezione pari a 9 km. Gli appalti per le gare di costruzione del tunnel (per un valore complessivo pari a circa 3,8 miliardi di euro) sono stati banditi con previsione di affidamento nel corso del 2021.</w:t>
      </w:r>
    </w:p>
    <w:p w14:paraId="07D3058B" w14:textId="77777777" w:rsidR="005D33C1" w:rsidRPr="00F63DA4" w:rsidRDefault="005D33C1" w:rsidP="005D33C1">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F63DA4">
        <w:rPr>
          <w:rFonts w:cs="Times New Roman"/>
          <w:iCs/>
          <w:sz w:val="22"/>
          <w:szCs w:val="22"/>
        </w:rPr>
        <w:t>Il costo dei lavori definitivi della sezione transfrontaliera, certificato da un soggetto terzo, è pari a 8.609,7 milioni di euro in euro costanti 2012. Tale valore rivalutato in euro correnti è stimato in 9.630,25 milioni di euro, di cui 5.574,21 milioni di euro di competenza italiana a cui si aggiungono i costi per misure di accompagnamento per 57,26 milioni di euro per un totale di 5.631,47 milioni di euro.</w:t>
      </w:r>
    </w:p>
    <w:p w14:paraId="4588664F" w14:textId="77777777" w:rsidR="00B76067" w:rsidRPr="00D65C93" w:rsidRDefault="005D33C1" w:rsidP="00D65C93">
      <w:pPr>
        <w:pBdr>
          <w:top w:val="single" w:sz="4" w:space="1" w:color="auto"/>
          <w:left w:val="single" w:sz="4" w:space="1" w:color="auto"/>
          <w:bottom w:val="single" w:sz="4" w:space="1" w:color="auto"/>
          <w:right w:val="single" w:sz="4" w:space="1" w:color="auto"/>
        </w:pBdr>
        <w:jc w:val="both"/>
        <w:rPr>
          <w:rFonts w:cs="Times New Roman"/>
          <w:sz w:val="22"/>
          <w:szCs w:val="22"/>
        </w:rPr>
      </w:pPr>
      <w:r w:rsidRPr="00F63DA4">
        <w:rPr>
          <w:rFonts w:cs="Times New Roman"/>
          <w:iCs/>
          <w:sz w:val="22"/>
          <w:szCs w:val="22"/>
        </w:rPr>
        <w:t xml:space="preserve">Per quanto attiene alla contribuzione dell’Italia ai lavori definitivi della sezione transfrontaliera, si registra un totale di risorse autorizzate pari a 2.892,62 milioni di </w:t>
      </w:r>
      <w:r w:rsidR="008A178A">
        <w:rPr>
          <w:rFonts w:cs="Times New Roman"/>
          <w:iCs/>
          <w:sz w:val="22"/>
          <w:szCs w:val="22"/>
        </w:rPr>
        <w:t xml:space="preserve">euro </w:t>
      </w:r>
      <w:r w:rsidRPr="00F63DA4">
        <w:rPr>
          <w:rFonts w:cs="Times New Roman"/>
          <w:iCs/>
          <w:sz w:val="22"/>
          <w:szCs w:val="22"/>
        </w:rPr>
        <w:t>(incluse le risorse comunitarie assentite all’Italia pari a 327,86 milioni</w:t>
      </w:r>
      <w:r w:rsidR="008A178A">
        <w:rPr>
          <w:rFonts w:cs="Times New Roman"/>
          <w:iCs/>
          <w:sz w:val="22"/>
          <w:szCs w:val="22"/>
        </w:rPr>
        <w:t xml:space="preserve"> di euro</w:t>
      </w:r>
      <w:r w:rsidRPr="00F63DA4">
        <w:rPr>
          <w:rFonts w:cs="Times New Roman"/>
          <w:iCs/>
          <w:sz w:val="22"/>
          <w:szCs w:val="22"/>
        </w:rPr>
        <w:t>).</w:t>
      </w:r>
    </w:p>
    <w:p w14:paraId="1CC9C31D" w14:textId="77777777" w:rsidR="00B76067" w:rsidRPr="00343FB0" w:rsidRDefault="00B76067" w:rsidP="00343FB0">
      <w:pPr>
        <w:rPr>
          <w:color w:val="auto"/>
          <w:highlight w:val="yellow"/>
        </w:rPr>
      </w:pPr>
    </w:p>
    <w:p w14:paraId="034EDDEB" w14:textId="77777777" w:rsidR="0016208D" w:rsidRDefault="00C6166A" w:rsidP="006C4718">
      <w:pPr>
        <w:jc w:val="both"/>
        <w:rPr>
          <w:b/>
          <w:bCs/>
        </w:rPr>
      </w:pPr>
      <w:r>
        <w:rPr>
          <w:b/>
          <w:bCs/>
        </w:rPr>
        <w:t>Corridoio Scandinavo Mediterraneo</w:t>
      </w:r>
    </w:p>
    <w:p w14:paraId="03A4448F" w14:textId="77777777" w:rsidR="0044165A" w:rsidRDefault="0044165A" w:rsidP="006C4718">
      <w:pPr>
        <w:jc w:val="both"/>
        <w:rPr>
          <w:b/>
          <w:bCs/>
        </w:rPr>
      </w:pPr>
    </w:p>
    <w:p w14:paraId="4FE6E0AA" w14:textId="77777777" w:rsidR="00306FA7" w:rsidRDefault="00306FA7" w:rsidP="00306FA7">
      <w:pPr>
        <w:ind w:firstLine="708"/>
        <w:jc w:val="both"/>
      </w:pPr>
      <w:r>
        <w:t>Il Corridoio rappresenta uno degli assi cruciali di collegamento economico tra Nord e Sud Europa: dall’estremo Nord della penisola scandinava attraversa</w:t>
      </w:r>
      <w:r w:rsidR="0037642B">
        <w:t xml:space="preserve"> </w:t>
      </w:r>
      <w:r>
        <w:t xml:space="preserve">Svezia, Finlandia, Danimarca, Germania e Austria e arriva fino alle regioni del sud Italia e Malta. Tra gli interventi più significativi del Corridoio è possibile annoverare </w:t>
      </w:r>
      <w:r w:rsidR="008A178A">
        <w:t>la galleria ferroviaria</w:t>
      </w:r>
      <w:r>
        <w:t xml:space="preserve"> di base del Brennero, in corso di realizzazione, con le relative tratte di </w:t>
      </w:r>
      <w:r>
        <w:lastRenderedPageBreak/>
        <w:t>accesso (si veda il box di approfondimento n.</w:t>
      </w:r>
      <w:r w:rsidR="00E25B9E">
        <w:t xml:space="preserve"> </w:t>
      </w:r>
      <w:r>
        <w:t xml:space="preserve">2), ed il collegamento </w:t>
      </w:r>
      <w:proofErr w:type="spellStart"/>
      <w:r>
        <w:t>Fehmarnbelt</w:t>
      </w:r>
      <w:proofErr w:type="spellEnd"/>
      <w:r>
        <w:t>. Oltre al Brennero, l’Italia è interessata dai lavori riguardanti la linea Napoli-Bari e dalla riqualificazione delle linee Verona-Bologna, Bologna-Ancona e Napoli-Reggio Calabria, Messina-Catania-Augusta/Palermo. Sul fronte portuale e della navigazione marittima, tra i principali interventi si evidenziano quelli volti allo sviluppo delle piattaforme multimodali dei porti di Ancona Napoli, Bari, La Spezia e Livorno, oltre allo sviluppo del collegamento tra Palermo/Taranto - Valletta/</w:t>
      </w:r>
      <w:proofErr w:type="spellStart"/>
      <w:r>
        <w:t>Marsaxlokk</w:t>
      </w:r>
      <w:proofErr w:type="spellEnd"/>
      <w:r>
        <w:t>.</w:t>
      </w:r>
    </w:p>
    <w:p w14:paraId="6745CBDD" w14:textId="77777777" w:rsidR="00306FA7" w:rsidRDefault="00306FA7" w:rsidP="00306FA7">
      <w:pPr>
        <w:ind w:firstLine="708"/>
        <w:jc w:val="both"/>
      </w:pPr>
      <w:r>
        <w:t>Nell’ambito della proposta per la nuova versione del Regolamento (UE) n.</w:t>
      </w:r>
      <w:r w:rsidR="00171D9E">
        <w:t xml:space="preserve"> </w:t>
      </w:r>
      <w:r>
        <w:t>1316/13 per il periodo 2021-2027, attualmente alle fasi finali di negoziato</w:t>
      </w:r>
      <w:r w:rsidR="008A178A">
        <w:t>,</w:t>
      </w:r>
      <w:r>
        <w:t xml:space="preserve"> per consentirne l’adozione il 1° gennaio 2021, sono state recepite, lungo il tracciato del Corridoio Scandinavo Mediterraneo, quali sezioni transfrontaliere le tratte di accesso alla galleria di base del Brennero. </w:t>
      </w:r>
      <w:proofErr w:type="gramStart"/>
      <w:r>
        <w:t>Inoltre</w:t>
      </w:r>
      <w:proofErr w:type="gramEnd"/>
      <w:r>
        <w:t xml:space="preserve"> è stata recepita l’inclusione del porto di Cagliari, ad oggi l’unico porto </w:t>
      </w:r>
      <w:r w:rsidRPr="008A178A">
        <w:rPr>
          <w:i/>
        </w:rPr>
        <w:t>Core</w:t>
      </w:r>
      <w:r>
        <w:t xml:space="preserve"> non ancora presente lungo un tracciato di Corridoio. </w:t>
      </w:r>
    </w:p>
    <w:p w14:paraId="7BAAC056" w14:textId="77777777" w:rsidR="00306FA7" w:rsidRDefault="00306FA7" w:rsidP="00306FA7">
      <w:pPr>
        <w:ind w:firstLine="708"/>
        <w:jc w:val="both"/>
      </w:pPr>
      <w:r>
        <w:t xml:space="preserve">In occasione della prossima revisione del Regolamento (UE) n. 1315/13, si auspica l’inserimento del porto di Civitavecchia come porto </w:t>
      </w:r>
      <w:r w:rsidRPr="008A178A">
        <w:rPr>
          <w:i/>
        </w:rPr>
        <w:t>Core</w:t>
      </w:r>
      <w:r>
        <w:t xml:space="preserve">, ancora di rango </w:t>
      </w:r>
      <w:r w:rsidRPr="008A178A">
        <w:rPr>
          <w:i/>
        </w:rPr>
        <w:t>Comprehensive</w:t>
      </w:r>
      <w:r>
        <w:t xml:space="preserve"> nel vigente Regolamento.</w:t>
      </w:r>
    </w:p>
    <w:p w14:paraId="60A1A863" w14:textId="77777777" w:rsidR="00306FA7" w:rsidRDefault="00306FA7" w:rsidP="00306FA7">
      <w:pPr>
        <w:ind w:firstLine="708"/>
        <w:jc w:val="both"/>
      </w:pPr>
    </w:p>
    <w:p w14:paraId="34C5D5A0" w14:textId="77777777" w:rsidR="007F1ABE" w:rsidRPr="00D65C93" w:rsidRDefault="006E0557" w:rsidP="00D65C93">
      <w:pPr>
        <w:pBdr>
          <w:top w:val="single" w:sz="4" w:space="1" w:color="auto"/>
          <w:left w:val="single" w:sz="4" w:space="1" w:color="auto"/>
          <w:bottom w:val="single" w:sz="4" w:space="1" w:color="auto"/>
          <w:right w:val="single" w:sz="4" w:space="1" w:color="auto"/>
        </w:pBdr>
        <w:spacing w:after="120"/>
        <w:jc w:val="both"/>
        <w:rPr>
          <w:b/>
          <w:bCs/>
          <w:sz w:val="22"/>
          <w:szCs w:val="22"/>
        </w:rPr>
      </w:pPr>
      <w:r w:rsidRPr="00D65C93">
        <w:rPr>
          <w:b/>
          <w:bCs/>
          <w:sz w:val="22"/>
          <w:szCs w:val="22"/>
        </w:rPr>
        <w:t>Box di approfondimento n.</w:t>
      </w:r>
      <w:r w:rsidR="005D33C1" w:rsidRPr="00D65C93">
        <w:rPr>
          <w:b/>
          <w:bCs/>
          <w:sz w:val="22"/>
          <w:szCs w:val="22"/>
        </w:rPr>
        <w:t xml:space="preserve"> </w:t>
      </w:r>
      <w:proofErr w:type="gramStart"/>
      <w:r w:rsidRPr="00D65C93">
        <w:rPr>
          <w:b/>
          <w:bCs/>
          <w:sz w:val="22"/>
          <w:szCs w:val="22"/>
        </w:rPr>
        <w:t>2</w:t>
      </w:r>
      <w:r w:rsidR="00D65C93" w:rsidRPr="00D65C93">
        <w:rPr>
          <w:b/>
          <w:bCs/>
          <w:sz w:val="22"/>
          <w:szCs w:val="22"/>
        </w:rPr>
        <w:t xml:space="preserve"> </w:t>
      </w:r>
      <w:r w:rsidR="00116391">
        <w:rPr>
          <w:b/>
          <w:bCs/>
          <w:sz w:val="22"/>
          <w:szCs w:val="22"/>
        </w:rPr>
        <w:t xml:space="preserve"> -</w:t>
      </w:r>
      <w:proofErr w:type="gramEnd"/>
      <w:r w:rsidR="00116391">
        <w:rPr>
          <w:b/>
          <w:bCs/>
          <w:sz w:val="22"/>
          <w:szCs w:val="22"/>
        </w:rPr>
        <w:t xml:space="preserve"> </w:t>
      </w:r>
      <w:r w:rsidR="00D65C93" w:rsidRPr="00D65C93">
        <w:rPr>
          <w:b/>
          <w:bCs/>
          <w:sz w:val="22"/>
          <w:szCs w:val="22"/>
        </w:rPr>
        <w:t>“</w:t>
      </w:r>
      <w:r w:rsidRPr="00D65C93">
        <w:rPr>
          <w:b/>
          <w:bCs/>
          <w:sz w:val="22"/>
          <w:szCs w:val="22"/>
        </w:rPr>
        <w:t>La galleria di base del Brennero e le relative tratte di accesso</w:t>
      </w:r>
      <w:r w:rsidR="00D65C93" w:rsidRPr="00D65C93">
        <w:rPr>
          <w:b/>
          <w:bCs/>
          <w:sz w:val="22"/>
          <w:szCs w:val="22"/>
        </w:rPr>
        <w:t>”</w:t>
      </w:r>
    </w:p>
    <w:p w14:paraId="24A1380A" w14:textId="77777777" w:rsidR="007F1ABE" w:rsidRPr="00F63DA4" w:rsidRDefault="007F1ABE" w:rsidP="007F1ABE">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8A178A">
        <w:rPr>
          <w:rFonts w:cs="Times New Roman"/>
          <w:iCs/>
          <w:sz w:val="22"/>
          <w:szCs w:val="22"/>
        </w:rPr>
        <w:t>Il progetto della galleria</w:t>
      </w:r>
      <w:r w:rsidRPr="00F63DA4">
        <w:rPr>
          <w:rFonts w:cs="Times New Roman"/>
          <w:iCs/>
          <w:sz w:val="22"/>
          <w:szCs w:val="22"/>
        </w:rPr>
        <w:t xml:space="preserve"> di base del Brennero, in corso di realizzazione, rappresenta uno tra gli interventi più significativi non solo nella programmazione infrastrutturale nazionale ma anche europea, localizzandosi lungo il Corridoio Scandinavo Mediterraneo, asse cruciale di collegamento economico tra Nord e Sud Europa. Il tratto tra Monaco di Baviera e Verona costituisce, infatti, la sezione baricentrica e nevralgica del Corridoio Scandinavo-Mediterraneo che dal confine russo-finlandese si estende fino a La Valletta, sull'isola di Malta.</w:t>
      </w:r>
    </w:p>
    <w:p w14:paraId="57EF9419" w14:textId="77777777" w:rsidR="007F1ABE" w:rsidRPr="00F63DA4" w:rsidRDefault="007F1ABE" w:rsidP="007F1ABE">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F63DA4">
        <w:rPr>
          <w:rFonts w:cs="Times New Roman"/>
          <w:iCs/>
          <w:sz w:val="22"/>
          <w:szCs w:val="22"/>
        </w:rPr>
        <w:t xml:space="preserve">La società Galleria di base del Brennero – Brenner </w:t>
      </w:r>
      <w:proofErr w:type="spellStart"/>
      <w:r w:rsidRPr="00F63DA4">
        <w:rPr>
          <w:rFonts w:cs="Times New Roman"/>
          <w:iCs/>
          <w:sz w:val="22"/>
          <w:szCs w:val="22"/>
        </w:rPr>
        <w:t>Basistunnel</w:t>
      </w:r>
      <w:proofErr w:type="spellEnd"/>
      <w:r w:rsidRPr="00F63DA4">
        <w:rPr>
          <w:rFonts w:cs="Times New Roman"/>
          <w:iCs/>
          <w:sz w:val="22"/>
          <w:szCs w:val="22"/>
        </w:rPr>
        <w:t xml:space="preserve"> BBT SE è il soggetto “Promotore”, incaricato dai due Stati, Italia e Austria, della progettazione e della realizzazione della galleria. Il progetto prevede la realizzazione di una galleria ferroviaria transfrontaliera a doppia canna tra Italia e Austria, della lunghezza di circa 55 km, di cui 23 km in territorio italiano e 32 km in territorio austriaco, che</w:t>
      </w:r>
      <w:r w:rsidR="00E25B9E" w:rsidRPr="00F63DA4">
        <w:rPr>
          <w:rFonts w:cs="Times New Roman"/>
          <w:iCs/>
          <w:sz w:val="22"/>
          <w:szCs w:val="22"/>
        </w:rPr>
        <w:t>,</w:t>
      </w:r>
      <w:r w:rsidRPr="00F63DA4">
        <w:rPr>
          <w:rFonts w:cs="Times New Roman"/>
          <w:iCs/>
          <w:sz w:val="22"/>
          <w:szCs w:val="22"/>
        </w:rPr>
        <w:t xml:space="preserve"> con i relativi collegamenti già esistenti</w:t>
      </w:r>
      <w:r w:rsidR="00E25B9E" w:rsidRPr="00F63DA4">
        <w:rPr>
          <w:rFonts w:cs="Times New Roman"/>
          <w:iCs/>
          <w:sz w:val="22"/>
          <w:szCs w:val="22"/>
        </w:rPr>
        <w:t>,</w:t>
      </w:r>
      <w:r w:rsidRPr="00F63DA4">
        <w:rPr>
          <w:rFonts w:cs="Times New Roman"/>
          <w:iCs/>
          <w:sz w:val="22"/>
          <w:szCs w:val="22"/>
        </w:rPr>
        <w:t xml:space="preserve"> raggiunge complessivamente una lunghezza di 64 km. Per quanto attiene alle attività realizzative, ad oggi sono stati scavati 123 km di gallerie (tra gallerie di transito dei treni, cunicolo esplorativo e altre gallerie logistiche), sui 230</w:t>
      </w:r>
      <w:r w:rsidR="00E25B9E" w:rsidRPr="00F63DA4">
        <w:rPr>
          <w:rFonts w:cs="Times New Roman"/>
          <w:iCs/>
          <w:sz w:val="22"/>
          <w:szCs w:val="22"/>
        </w:rPr>
        <w:t xml:space="preserve"> </w:t>
      </w:r>
      <w:r w:rsidRPr="00F63DA4">
        <w:rPr>
          <w:rFonts w:cs="Times New Roman"/>
          <w:iCs/>
          <w:sz w:val="22"/>
          <w:szCs w:val="22"/>
        </w:rPr>
        <w:t>km totali previsti.</w:t>
      </w:r>
    </w:p>
    <w:p w14:paraId="1D117354" w14:textId="77777777" w:rsidR="007F1ABE" w:rsidRPr="00F63DA4" w:rsidRDefault="007F1ABE" w:rsidP="007F1ABE">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F63DA4">
        <w:rPr>
          <w:rFonts w:cs="Times New Roman"/>
          <w:iCs/>
          <w:sz w:val="22"/>
          <w:szCs w:val="22"/>
        </w:rPr>
        <w:t xml:space="preserve">Nell’ambito dell’attuale Programma di finanziamento comunitario </w:t>
      </w:r>
      <w:r w:rsidR="00E25B9E" w:rsidRPr="00F63DA4">
        <w:rPr>
          <w:rFonts w:cs="Times New Roman"/>
          <w:iCs/>
          <w:sz w:val="22"/>
          <w:szCs w:val="22"/>
        </w:rPr>
        <w:t>“</w:t>
      </w:r>
      <w:proofErr w:type="spellStart"/>
      <w:r w:rsidRPr="00F63DA4">
        <w:rPr>
          <w:rFonts w:cs="Times New Roman"/>
          <w:i/>
          <w:iCs/>
          <w:sz w:val="22"/>
          <w:szCs w:val="22"/>
        </w:rPr>
        <w:t>Connecting</w:t>
      </w:r>
      <w:proofErr w:type="spellEnd"/>
      <w:r w:rsidRPr="00F63DA4">
        <w:rPr>
          <w:rFonts w:cs="Times New Roman"/>
          <w:i/>
          <w:iCs/>
          <w:sz w:val="22"/>
          <w:szCs w:val="22"/>
        </w:rPr>
        <w:t xml:space="preserve"> Europe Facility</w:t>
      </w:r>
      <w:r w:rsidRPr="00F63DA4">
        <w:rPr>
          <w:rFonts w:cs="Times New Roman"/>
          <w:iCs/>
          <w:sz w:val="22"/>
          <w:szCs w:val="22"/>
        </w:rPr>
        <w:t>” (CEF) 2014-2020, la Commissione Europea ha assegnato complessivamente alla tratta transfrontaliera (nella sua definizione attuale) 1.181,49 milioni di euro, di cui 878,64 milioni di euro per i lavori e 302,85 milioni di euro per gli studi, a fronte di costi complessivi pari a 2.802,3 milioni di euro. L’importo assegnato è ripartito equamente tra Italia e Austria e</w:t>
      </w:r>
      <w:r w:rsidR="00E25B9E" w:rsidRPr="00F63DA4">
        <w:rPr>
          <w:rFonts w:cs="Times New Roman"/>
          <w:iCs/>
          <w:sz w:val="22"/>
          <w:szCs w:val="22"/>
        </w:rPr>
        <w:t>,</w:t>
      </w:r>
      <w:r w:rsidRPr="00F63DA4">
        <w:rPr>
          <w:rFonts w:cs="Times New Roman"/>
          <w:iCs/>
          <w:sz w:val="22"/>
          <w:szCs w:val="22"/>
        </w:rPr>
        <w:t xml:space="preserve"> pertanto</w:t>
      </w:r>
      <w:r w:rsidR="00E25B9E" w:rsidRPr="00F63DA4">
        <w:rPr>
          <w:rFonts w:cs="Times New Roman"/>
          <w:iCs/>
          <w:sz w:val="22"/>
          <w:szCs w:val="22"/>
        </w:rPr>
        <w:t>,</w:t>
      </w:r>
      <w:r w:rsidRPr="00F63DA4">
        <w:rPr>
          <w:rFonts w:cs="Times New Roman"/>
          <w:iCs/>
          <w:sz w:val="22"/>
          <w:szCs w:val="22"/>
        </w:rPr>
        <w:t xml:space="preserve"> la quota dei contributi europei di competenza italiana assentiti dal 2016 al 2020 per la galleria di base del Brennero ammonta a 590,745 milioni di euro.</w:t>
      </w:r>
    </w:p>
    <w:p w14:paraId="418214BD" w14:textId="77777777" w:rsidR="007F1ABE" w:rsidRPr="00F63DA4" w:rsidRDefault="007F1ABE" w:rsidP="007F1ABE">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F63DA4">
        <w:rPr>
          <w:rFonts w:cs="Times New Roman"/>
          <w:iCs/>
          <w:sz w:val="22"/>
          <w:szCs w:val="22"/>
        </w:rPr>
        <w:t xml:space="preserve">Unitamente al progetto della galleria di base, sono previsti interventi anche sulle linee di accesso lato nord (Austria e Germania) e lato sud (Italia), i cui costi di realizzazione sono a carico dei singoli Stati. </w:t>
      </w:r>
    </w:p>
    <w:p w14:paraId="36626B7B" w14:textId="77777777" w:rsidR="006E0557" w:rsidRPr="00F63DA4" w:rsidRDefault="007F1ABE" w:rsidP="006E0557">
      <w:pPr>
        <w:pBdr>
          <w:top w:val="single" w:sz="4" w:space="1" w:color="auto"/>
          <w:left w:val="single" w:sz="4" w:space="1" w:color="auto"/>
          <w:bottom w:val="single" w:sz="4" w:space="1" w:color="auto"/>
          <w:right w:val="single" w:sz="4" w:space="1" w:color="auto"/>
        </w:pBdr>
        <w:jc w:val="both"/>
        <w:rPr>
          <w:rFonts w:cs="Times New Roman"/>
          <w:iCs/>
          <w:sz w:val="22"/>
          <w:szCs w:val="22"/>
        </w:rPr>
      </w:pPr>
      <w:r w:rsidRPr="00F63DA4">
        <w:rPr>
          <w:rFonts w:cs="Times New Roman"/>
          <w:iCs/>
          <w:sz w:val="22"/>
          <w:szCs w:val="22"/>
        </w:rPr>
        <w:t>Per quanto riguarda le tratte di accesso sud, il progetto più importante, in termini di priorità, è il lotto 1 “Fortezza-Ponte Gardena”, che si estende per circa 25 km, in quanto consentirà di superare le criticità legate alla tortuosità e alla pendenza del tracciato, creando i presupposti di un corridoio altamente prestazionale per il traffico merci. Il CIPE nel 2017 ha approvato con prescrizioni il progetto definitivo del lotto 1 avente un costo pari a 1.478 milioni di euro, completamente finanziato con risorse quasi interamente statali (Legge di Stabilità del 2016). Attualmente è in corso l’iter approvativo delle varianti apportate al progetto definitivo.</w:t>
      </w:r>
    </w:p>
    <w:p w14:paraId="78C218D5" w14:textId="77777777" w:rsidR="00C701A2" w:rsidRDefault="00C701A2" w:rsidP="006C4718">
      <w:pPr>
        <w:jc w:val="both"/>
        <w:rPr>
          <w:b/>
          <w:bCs/>
        </w:rPr>
      </w:pPr>
    </w:p>
    <w:p w14:paraId="493FAAB3" w14:textId="77777777" w:rsidR="00385BD4" w:rsidRDefault="00C6166A" w:rsidP="006C4718">
      <w:pPr>
        <w:jc w:val="both"/>
        <w:rPr>
          <w:b/>
          <w:bCs/>
        </w:rPr>
      </w:pPr>
      <w:r>
        <w:rPr>
          <w:b/>
          <w:bCs/>
        </w:rPr>
        <w:t>Corridoio Reno-Alpi</w:t>
      </w:r>
    </w:p>
    <w:p w14:paraId="2A8470AB" w14:textId="77777777" w:rsidR="0044165A" w:rsidRDefault="0044165A" w:rsidP="006C4718">
      <w:pPr>
        <w:jc w:val="both"/>
        <w:rPr>
          <w:b/>
          <w:bCs/>
        </w:rPr>
      </w:pPr>
    </w:p>
    <w:p w14:paraId="35E30938" w14:textId="77777777" w:rsidR="000F6CCE" w:rsidRDefault="000F6CCE" w:rsidP="000F6CCE">
      <w:pPr>
        <w:ind w:firstLine="708"/>
        <w:jc w:val="both"/>
      </w:pPr>
      <w:r>
        <w:t>Il Corridoio unisce i porti del Mare del Nord al Mar Tirreno attraverso Belgio, Olanda, Germania, Svizzera ed Italia. L’area interessata da questo Corridoio ha una particolare rilevanza dal punto di vista economico in quanto include i maggiori centri economici europei (la cosiddetta “</w:t>
      </w:r>
      <w:r>
        <w:rPr>
          <w:i/>
          <w:iCs/>
        </w:rPr>
        <w:t>Blue banana</w:t>
      </w:r>
      <w:r>
        <w:t>”). Il Corridoio Reno-Alpi è caratterizzato da una delle vie navigabili più importanti, ovvero quella del Reno, oltre che da interventi ferroviari tra cui la galleria del Gottardo in Svizzera.</w:t>
      </w:r>
    </w:p>
    <w:p w14:paraId="61E56C8D" w14:textId="77777777" w:rsidR="000F6CCE" w:rsidRDefault="000F6CCE" w:rsidP="000F6CC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ab/>
        <w:t xml:space="preserve">Il </w:t>
      </w:r>
      <w:r w:rsidRPr="001365E2">
        <w:t>Corridoio</w:t>
      </w:r>
      <w:r>
        <w:t xml:space="preserve"> comprende alcuni dei più grandi porti del mondo, </w:t>
      </w:r>
      <w:r w:rsidR="00371A81">
        <w:t>quali</w:t>
      </w:r>
      <w:r>
        <w:t>: Rotterdam, Amsterdam, Anversa e Zeebrugge, Duisburg e Genova che agiscono come punti di entrata</w:t>
      </w:r>
      <w:r w:rsidR="00371A81">
        <w:t xml:space="preserve"> e di uscita merci e da cui si d</w:t>
      </w:r>
      <w:r>
        <w:t>ipartono connessioni multimodali molto sviluppate. Lun</w:t>
      </w:r>
      <w:r w:rsidR="00371A81">
        <w:t>go il Corridoio Reno-Alpi, vengono trasportate</w:t>
      </w:r>
      <w:r>
        <w:t xml:space="preserve"> ogni anno circa 138 miliardi di tonnellate di merci con</w:t>
      </w:r>
      <w:r w:rsidR="00371A81">
        <w:t xml:space="preserve"> un</w:t>
      </w:r>
      <w:r>
        <w:t xml:space="preserve"> conseguente </w:t>
      </w:r>
      <w:r w:rsidR="00371A81">
        <w:t xml:space="preserve">effetto sul </w:t>
      </w:r>
      <w:r>
        <w:t xml:space="preserve">PIL </w:t>
      </w:r>
      <w:r w:rsidR="00371A81">
        <w:t>per</w:t>
      </w:r>
      <w:r>
        <w:t xml:space="preserve"> oltre 3.100 miliardi di euro, </w:t>
      </w:r>
      <w:r w:rsidR="00371A81">
        <w:t>pari al</w:t>
      </w:r>
      <w:r>
        <w:t xml:space="preserve"> 20% del PIL totale dell'UE (basato su dati del 2017</w:t>
      </w:r>
      <w:r w:rsidR="009965F2" w:rsidRPr="009965F2">
        <w:rPr>
          <w:color w:val="FF0000"/>
          <w:vertAlign w:val="superscript"/>
        </w:rPr>
        <w:t>(</w:t>
      </w:r>
      <w:r w:rsidR="00B76067" w:rsidRPr="009965F2">
        <w:rPr>
          <w:rStyle w:val="Rimandonotaapidipagina"/>
          <w:color w:val="FF0000"/>
        </w:rPr>
        <w:footnoteReference w:id="5"/>
      </w:r>
      <w:r w:rsidR="009965F2" w:rsidRPr="009965F2">
        <w:rPr>
          <w:color w:val="FF0000"/>
          <w:vertAlign w:val="superscript"/>
        </w:rPr>
        <w:t>)</w:t>
      </w:r>
      <w:r w:rsidR="00371A81">
        <w:t xml:space="preserve">). </w:t>
      </w:r>
      <w:proofErr w:type="gramStart"/>
      <w:r w:rsidR="00371A81">
        <w:t>Il Corridoio Reno-Alpi</w:t>
      </w:r>
      <w:r>
        <w:t xml:space="preserve"> dal punto di vista infrastrutturale,</w:t>
      </w:r>
      <w:proofErr w:type="gramEnd"/>
      <w:r>
        <w:t xml:space="preserve"> </w:t>
      </w:r>
      <w:r w:rsidR="00371A81">
        <w:t>è significativamente maturo e</w:t>
      </w:r>
      <w:r>
        <w:t xml:space="preserve"> ciò lo rende un "precursore" per altri corridoi, </w:t>
      </w:r>
      <w:r>
        <w:lastRenderedPageBreak/>
        <w:t xml:space="preserve">soprattutto per quanto riguarda le iniziative sulle innovazioni e le nuove tecnologie (ad esempio l’utilizzo di LNG - </w:t>
      </w:r>
      <w:r w:rsidRPr="00A84E37">
        <w:rPr>
          <w:i/>
        </w:rPr>
        <w:t>Liquid Natural Gas</w:t>
      </w:r>
      <w:r>
        <w:t xml:space="preserve"> per la navigazione interna), che aprono la strada verso il futuro.</w:t>
      </w:r>
    </w:p>
    <w:p w14:paraId="39825ACE" w14:textId="77777777" w:rsidR="000F6CCE" w:rsidRPr="00C279A7" w:rsidRDefault="000F6CCE" w:rsidP="000F6CCE">
      <w:pPr>
        <w:ind w:firstLine="708"/>
        <w:jc w:val="both"/>
      </w:pPr>
      <w:r>
        <w:t xml:space="preserve">A livello nazionale, il Corridoio interessa soprattutto le Regioni del Nord-Ovest (Lombardia, Piemonte e Liguria) dove, oltre ai lavori del </w:t>
      </w:r>
      <w:r w:rsidRPr="00EA6831">
        <w:t>tunnel transfrontaliero “Terzo Valico dei Giovi”, che a lungo termine ridurrà del 20% i tempi di percorrenza dei passeggeri e aumenterà l’affidabilità e la sicurezza del trasporto merci</w:t>
      </w:r>
      <w:r>
        <w:t xml:space="preserve"> Terzo Valico, sono programmati interventi distribuiti lungo la linea ferroviaria Genova-Milano/Novara-confine svizzero. In ambito marittimo, il porto di Genova è al centro di interventi volti a potenziarne il ruolo di principale scalo dell’Europa mediterranea anche nell’ottica d</w:t>
      </w:r>
      <w:r w:rsidR="00371A81">
        <w:t>i sviluppo</w:t>
      </w:r>
      <w:r>
        <w:t xml:space="preserve"> delle Autostrade del Mare nel Mediterraneo occidentale. Tra gli altri nodi italiani figurano i due nodi urbani di Genova e Milano, i due </w:t>
      </w:r>
      <w:r w:rsidRPr="00C279A7">
        <w:t>sistemi aeroportuali di Milano (Malpensa, Linate, Orio al Serio) e Genova, i terminali ferroviario-stradali di Vado, Milano Smistamento e Novara.</w:t>
      </w:r>
    </w:p>
    <w:p w14:paraId="58E254CB" w14:textId="77777777" w:rsidR="00C90EA3" w:rsidRDefault="000F6CCE" w:rsidP="006C4718">
      <w:pPr>
        <w:jc w:val="both"/>
      </w:pPr>
      <w:r w:rsidRPr="00C279A7">
        <w:tab/>
      </w:r>
      <w:r w:rsidRPr="00F63DA4">
        <w:rPr>
          <w:color w:val="auto"/>
        </w:rPr>
        <w:t>A seguito del crollo del ponte Morandi del 14 agosto 2018, il Governo italiano si è impegnato con la massima priorità per avviare la ricostruzione del Ponte sul Polcevera (viadotto sull’A10) e le annesse opere di ripristino e di adattamento della viabilità che interessano Genova e il suo territorio.</w:t>
      </w:r>
      <w:r w:rsidR="00C90EA3" w:rsidRPr="00F63DA4">
        <w:rPr>
          <w:color w:val="auto"/>
        </w:rPr>
        <w:t xml:space="preserve"> </w:t>
      </w:r>
      <w:r w:rsidR="00C90EA3" w:rsidRPr="00C279A7">
        <w:t>La cerimonia per il varo dell'ultima campata del nuovo viadotto si è tenuta in data 28 aprile 2020.</w:t>
      </w:r>
    </w:p>
    <w:p w14:paraId="7DDBE647" w14:textId="77777777" w:rsidR="0037642B" w:rsidRPr="00C279A7" w:rsidRDefault="0037642B" w:rsidP="006C4718">
      <w:pPr>
        <w:jc w:val="both"/>
      </w:pPr>
    </w:p>
    <w:p w14:paraId="781E3FA1" w14:textId="77777777" w:rsidR="000F6CCE" w:rsidRDefault="000F6CCE" w:rsidP="006C4718">
      <w:pPr>
        <w:jc w:val="both"/>
        <w:rPr>
          <w:b/>
          <w:bCs/>
        </w:rPr>
      </w:pPr>
      <w:r w:rsidRPr="00F63DA4">
        <w:rPr>
          <w:color w:val="auto"/>
        </w:rPr>
        <w:t xml:space="preserve"> </w:t>
      </w:r>
      <w:r w:rsidR="00C6166A" w:rsidRPr="00C279A7">
        <w:rPr>
          <w:b/>
          <w:bCs/>
        </w:rPr>
        <w:t>Autostrade del Mare</w:t>
      </w:r>
      <w:r w:rsidR="00D93A7C" w:rsidRPr="00C279A7">
        <w:rPr>
          <w:b/>
          <w:bCs/>
        </w:rPr>
        <w:t xml:space="preserve"> (</w:t>
      </w:r>
      <w:proofErr w:type="spellStart"/>
      <w:r w:rsidR="00D93A7C" w:rsidRPr="00C279A7">
        <w:rPr>
          <w:b/>
          <w:bCs/>
        </w:rPr>
        <w:t>AdM</w:t>
      </w:r>
      <w:proofErr w:type="spellEnd"/>
      <w:r w:rsidR="00D93A7C" w:rsidRPr="00C279A7">
        <w:rPr>
          <w:b/>
          <w:bCs/>
        </w:rPr>
        <w:t>)</w:t>
      </w:r>
    </w:p>
    <w:p w14:paraId="3B7BFDD9" w14:textId="77777777" w:rsidR="0044165A" w:rsidRPr="00C279A7" w:rsidRDefault="0044165A" w:rsidP="006C4718">
      <w:pPr>
        <w:jc w:val="both"/>
        <w:rPr>
          <w:b/>
          <w:bCs/>
        </w:rPr>
      </w:pPr>
    </w:p>
    <w:p w14:paraId="1EC63923" w14:textId="77777777" w:rsidR="000F6CCE" w:rsidRPr="00242EC8" w:rsidRDefault="000F6CCE" w:rsidP="000F6CCE">
      <w:pPr>
        <w:ind w:firstLine="709"/>
        <w:jc w:val="both"/>
        <w:rPr>
          <w:color w:val="auto"/>
        </w:rPr>
      </w:pPr>
      <w:r w:rsidRPr="00C279A7">
        <w:t>Tale priorità orizzontale è volta a promuovere</w:t>
      </w:r>
      <w:r>
        <w:t xml:space="preserve"> un sistema efficiente di trasporti marittimi in grado di accrescere l’efficacia e la competitività della modalità di trasporto combinata strada-mare. In questo modo, in un’ottica di sviluppo ecosostenibile, viene limitato il congestionamento della rete stradale con conseguenti benefici in termini di prevenzione degli incidenti e di riduzione dell’inquinamento prodotto dal trasporto su gomma. L’obiettivo di tale priorità è, pertanto, trasversale perché finalizzato a migliorare la connessione tra i diversi porti europei e tra questi e le rispettive aree dell'</w:t>
      </w:r>
      <w:r>
        <w:rPr>
          <w:i/>
          <w:iCs/>
        </w:rPr>
        <w:t>hinterland</w:t>
      </w:r>
      <w:r>
        <w:t xml:space="preserve">. </w:t>
      </w:r>
      <w:r w:rsidR="00171D9E">
        <w:t>Nell’</w:t>
      </w:r>
      <w:r>
        <w:t xml:space="preserve">aprile 2018, </w:t>
      </w:r>
      <w:r w:rsidR="00371A81">
        <w:t>l’allora</w:t>
      </w:r>
      <w:r>
        <w:t xml:space="preserve"> Coordinatore Brian Simpson ha pubblicato un rapporto di dettaglio denominato “</w:t>
      </w:r>
      <w:proofErr w:type="spellStart"/>
      <w:r w:rsidRPr="000F6CCE">
        <w:rPr>
          <w:i/>
          <w:iCs/>
        </w:rPr>
        <w:t>Detailed</w:t>
      </w:r>
      <w:proofErr w:type="spellEnd"/>
      <w:r w:rsidRPr="000F6CCE">
        <w:rPr>
          <w:i/>
          <w:iCs/>
        </w:rPr>
        <w:t xml:space="preserve"> </w:t>
      </w:r>
      <w:proofErr w:type="spellStart"/>
      <w:r w:rsidRPr="000F6CCE">
        <w:rPr>
          <w:i/>
          <w:iCs/>
        </w:rPr>
        <w:t>Implementation</w:t>
      </w:r>
      <w:proofErr w:type="spellEnd"/>
      <w:r w:rsidRPr="000F6CCE">
        <w:rPr>
          <w:i/>
          <w:iCs/>
        </w:rPr>
        <w:t xml:space="preserve"> Plan</w:t>
      </w:r>
      <w:r>
        <w:t xml:space="preserve"> (DIP)” che traccia</w:t>
      </w:r>
      <w:r w:rsidR="00371A81">
        <w:t>va</w:t>
      </w:r>
      <w:r>
        <w:t xml:space="preserve"> una visione per le Autostrade del Mare e che identifica</w:t>
      </w:r>
      <w:r w:rsidR="00371A81">
        <w:t>va</w:t>
      </w:r>
      <w:r>
        <w:t xml:space="preserve"> tre pilastri fondamentali per il settore: la sostenibilità ambientale, l’integrazione della catena logistica nel settore marittimo e la sicurezza intesa sia nella gestione del traffico che come elemento umano. </w:t>
      </w:r>
      <w:r w:rsidRPr="00242EC8">
        <w:rPr>
          <w:color w:val="auto"/>
        </w:rPr>
        <w:t xml:space="preserve">L’attuale coordinatore Kurt </w:t>
      </w:r>
      <w:proofErr w:type="spellStart"/>
      <w:r w:rsidRPr="00242EC8">
        <w:rPr>
          <w:color w:val="auto"/>
        </w:rPr>
        <w:t>Bodewig</w:t>
      </w:r>
      <w:proofErr w:type="spellEnd"/>
      <w:r w:rsidRPr="00242EC8">
        <w:rPr>
          <w:color w:val="auto"/>
        </w:rPr>
        <w:t xml:space="preserve">, in carica dal 16 </w:t>
      </w:r>
      <w:proofErr w:type="gramStart"/>
      <w:r w:rsidRPr="00242EC8">
        <w:rPr>
          <w:color w:val="auto"/>
        </w:rPr>
        <w:t>Settembre</w:t>
      </w:r>
      <w:proofErr w:type="gramEnd"/>
      <w:r w:rsidRPr="00242EC8">
        <w:rPr>
          <w:color w:val="auto"/>
        </w:rPr>
        <w:t xml:space="preserve"> 2018, ha individuato le principali priorità da affrontare per lo sviluppo delle </w:t>
      </w:r>
      <w:proofErr w:type="spellStart"/>
      <w:r w:rsidR="00171D9E" w:rsidRPr="00242EC8">
        <w:rPr>
          <w:color w:val="auto"/>
        </w:rPr>
        <w:t>A</w:t>
      </w:r>
      <w:r w:rsidR="00171D9E">
        <w:rPr>
          <w:color w:val="auto"/>
        </w:rPr>
        <w:t>d</w:t>
      </w:r>
      <w:r w:rsidR="00171D9E" w:rsidRPr="00242EC8">
        <w:rPr>
          <w:color w:val="auto"/>
        </w:rPr>
        <w:t>M</w:t>
      </w:r>
      <w:proofErr w:type="spellEnd"/>
      <w:r w:rsidRPr="00242EC8">
        <w:rPr>
          <w:color w:val="auto"/>
        </w:rPr>
        <w:t xml:space="preserve">: una migliore integrazione nella rete TEN-T, un ampliamento delle possibili fonti di finanziamento ed una politica di Bacino. </w:t>
      </w:r>
    </w:p>
    <w:p w14:paraId="358ABC3F" w14:textId="77777777" w:rsidR="000F6CCE" w:rsidRDefault="000F6CCE" w:rsidP="000F6CCE">
      <w:pPr>
        <w:ind w:firstLine="709"/>
        <w:jc w:val="both"/>
        <w:rPr>
          <w:color w:val="auto"/>
        </w:rPr>
      </w:pPr>
      <w:r w:rsidRPr="00242EC8">
        <w:rPr>
          <w:color w:val="auto"/>
        </w:rPr>
        <w:t xml:space="preserve">Inoltre, durante il </w:t>
      </w:r>
      <w:proofErr w:type="spellStart"/>
      <w:r w:rsidRPr="00242EC8">
        <w:rPr>
          <w:i/>
          <w:iCs/>
          <w:color w:val="auto"/>
        </w:rPr>
        <w:t>MoS</w:t>
      </w:r>
      <w:proofErr w:type="spellEnd"/>
      <w:r w:rsidRPr="00242EC8">
        <w:rPr>
          <w:i/>
          <w:iCs/>
          <w:color w:val="auto"/>
        </w:rPr>
        <w:t xml:space="preserve"> Forum</w:t>
      </w:r>
      <w:r w:rsidRPr="00242EC8">
        <w:rPr>
          <w:color w:val="auto"/>
        </w:rPr>
        <w:t xml:space="preserve"> per soli Stati Membri tenutosi a Bruxelles</w:t>
      </w:r>
      <w:r w:rsidR="00371A81">
        <w:rPr>
          <w:color w:val="auto"/>
        </w:rPr>
        <w:t xml:space="preserve"> lo scorso 22 </w:t>
      </w:r>
      <w:proofErr w:type="gramStart"/>
      <w:r w:rsidR="00371A81">
        <w:rPr>
          <w:color w:val="auto"/>
        </w:rPr>
        <w:t>Novembre</w:t>
      </w:r>
      <w:proofErr w:type="gramEnd"/>
      <w:r w:rsidR="00371A81">
        <w:rPr>
          <w:color w:val="auto"/>
        </w:rPr>
        <w:t xml:space="preserve"> 2019 il C</w:t>
      </w:r>
      <w:r w:rsidRPr="00242EC8">
        <w:rPr>
          <w:color w:val="auto"/>
        </w:rPr>
        <w:t xml:space="preserve">oordinatore, a seguito del feedback degli </w:t>
      </w:r>
      <w:r w:rsidRPr="00450E48">
        <w:rPr>
          <w:i/>
          <w:color w:val="auto"/>
        </w:rPr>
        <w:t>stakeholder</w:t>
      </w:r>
      <w:r w:rsidRPr="00242EC8">
        <w:rPr>
          <w:color w:val="auto"/>
        </w:rPr>
        <w:t xml:space="preserve"> durante il </w:t>
      </w:r>
      <w:proofErr w:type="spellStart"/>
      <w:r w:rsidRPr="00242EC8">
        <w:rPr>
          <w:i/>
          <w:iCs/>
          <w:color w:val="auto"/>
        </w:rPr>
        <w:t>MoS</w:t>
      </w:r>
      <w:proofErr w:type="spellEnd"/>
      <w:r w:rsidRPr="00242EC8">
        <w:rPr>
          <w:i/>
          <w:iCs/>
          <w:color w:val="auto"/>
        </w:rPr>
        <w:t xml:space="preserve"> forum</w:t>
      </w:r>
      <w:r w:rsidRPr="00242EC8">
        <w:rPr>
          <w:color w:val="auto"/>
        </w:rPr>
        <w:t xml:space="preserve"> pubblico del 21 Giugno 2019, ha annunciato </w:t>
      </w:r>
      <w:r w:rsidR="00371A81">
        <w:rPr>
          <w:color w:val="auto"/>
        </w:rPr>
        <w:t xml:space="preserve">un </w:t>
      </w:r>
      <w:r w:rsidRPr="00242EC8">
        <w:rPr>
          <w:color w:val="auto"/>
        </w:rPr>
        <w:t xml:space="preserve">piano di revisione del </w:t>
      </w:r>
      <w:proofErr w:type="spellStart"/>
      <w:r w:rsidRPr="00450E48">
        <w:rPr>
          <w:i/>
          <w:color w:val="auto"/>
        </w:rPr>
        <w:t>MoS</w:t>
      </w:r>
      <w:proofErr w:type="spellEnd"/>
      <w:r w:rsidRPr="00242EC8">
        <w:rPr>
          <w:color w:val="auto"/>
        </w:rPr>
        <w:t xml:space="preserve"> DIP. Tra le principali novità: l’allineamento con i </w:t>
      </w:r>
      <w:r w:rsidR="00742DDB">
        <w:rPr>
          <w:color w:val="auto"/>
        </w:rPr>
        <w:t>Piani di Lavoro</w:t>
      </w:r>
      <w:r w:rsidRPr="00242EC8">
        <w:rPr>
          <w:color w:val="auto"/>
        </w:rPr>
        <w:t xml:space="preserve"> di corridoio, i temi della decarbonizzazione, dell’ITS e della </w:t>
      </w:r>
      <w:r w:rsidR="00742DDB">
        <w:rPr>
          <w:color w:val="auto"/>
        </w:rPr>
        <w:t>Mobilità Militare</w:t>
      </w:r>
      <w:r w:rsidRPr="00242EC8">
        <w:rPr>
          <w:color w:val="auto"/>
        </w:rPr>
        <w:t xml:space="preserve">, un contributo alla revisione della rete TEN-T ed una migliore sinergia con tutti gli altri strumenti di finanziamento CEF. </w:t>
      </w:r>
    </w:p>
    <w:p w14:paraId="26649022" w14:textId="77777777" w:rsidR="000F6CCE" w:rsidRPr="00242EC8" w:rsidRDefault="000F6CCE" w:rsidP="00C279A7">
      <w:pPr>
        <w:ind w:firstLine="709"/>
        <w:jc w:val="both"/>
        <w:rPr>
          <w:color w:val="auto"/>
        </w:rPr>
      </w:pPr>
      <w:r w:rsidRPr="000F6CCE">
        <w:rPr>
          <w:color w:val="auto"/>
        </w:rPr>
        <w:t xml:space="preserve">Nel quadro degli eventi promossi </w:t>
      </w:r>
      <w:r>
        <w:rPr>
          <w:color w:val="auto"/>
        </w:rPr>
        <w:t xml:space="preserve">nel 2019 </w:t>
      </w:r>
      <w:r w:rsidRPr="000F6CCE">
        <w:rPr>
          <w:color w:val="auto"/>
        </w:rPr>
        <w:t>d</w:t>
      </w:r>
      <w:r w:rsidR="00742DDB">
        <w:rPr>
          <w:color w:val="auto"/>
        </w:rPr>
        <w:t>a</w:t>
      </w:r>
      <w:r w:rsidRPr="000F6CCE">
        <w:rPr>
          <w:color w:val="auto"/>
        </w:rPr>
        <w:t xml:space="preserve">lla Commissione Europea, </w:t>
      </w:r>
      <w:r w:rsidR="00742DDB">
        <w:rPr>
          <w:color w:val="auto"/>
        </w:rPr>
        <w:t>il</w:t>
      </w:r>
      <w:r w:rsidRPr="000F6CCE">
        <w:rPr>
          <w:color w:val="auto"/>
        </w:rPr>
        <w:t xml:space="preserve"> Coordinatore europeo delle Autostrade del Mare, Prof. Kurt </w:t>
      </w:r>
      <w:proofErr w:type="spellStart"/>
      <w:r w:rsidRPr="000F6CCE">
        <w:rPr>
          <w:color w:val="auto"/>
        </w:rPr>
        <w:t>Bodewig</w:t>
      </w:r>
      <w:proofErr w:type="spellEnd"/>
      <w:r w:rsidRPr="000F6CCE">
        <w:rPr>
          <w:color w:val="auto"/>
        </w:rPr>
        <w:t>, congiuntamente</w:t>
      </w:r>
      <w:r w:rsidR="00742DDB">
        <w:rPr>
          <w:color w:val="auto"/>
        </w:rPr>
        <w:t xml:space="preserve"> con</w:t>
      </w:r>
      <w:r w:rsidRPr="000F6CCE">
        <w:rPr>
          <w:color w:val="auto"/>
        </w:rPr>
        <w:t xml:space="preserve"> </w:t>
      </w:r>
      <w:r w:rsidR="00742DDB" w:rsidRPr="00242EC8">
        <w:rPr>
          <w:color w:val="auto"/>
        </w:rPr>
        <w:t>il Coordina</w:t>
      </w:r>
      <w:r w:rsidR="00371A81">
        <w:rPr>
          <w:color w:val="auto"/>
        </w:rPr>
        <w:t>tore del C</w:t>
      </w:r>
      <w:r w:rsidR="00742DDB">
        <w:rPr>
          <w:color w:val="auto"/>
        </w:rPr>
        <w:t>orridoio Atlantico, P</w:t>
      </w:r>
      <w:r w:rsidR="00742DDB" w:rsidRPr="00242EC8">
        <w:rPr>
          <w:color w:val="auto"/>
        </w:rPr>
        <w:t>rof. Carlo Secchi</w:t>
      </w:r>
      <w:r w:rsidR="00742DDB">
        <w:rPr>
          <w:color w:val="auto"/>
        </w:rPr>
        <w:t xml:space="preserve"> ed</w:t>
      </w:r>
      <w:r w:rsidRPr="000F6CCE">
        <w:rPr>
          <w:color w:val="auto"/>
        </w:rPr>
        <w:t xml:space="preserve"> </w:t>
      </w:r>
      <w:r>
        <w:rPr>
          <w:color w:val="auto"/>
        </w:rPr>
        <w:t>il Ministero</w:t>
      </w:r>
      <w:r w:rsidR="00742DDB">
        <w:rPr>
          <w:color w:val="auto"/>
        </w:rPr>
        <w:t xml:space="preserve"> delle Infrastrutture e dei Trasporti</w:t>
      </w:r>
      <w:r>
        <w:rPr>
          <w:color w:val="auto"/>
        </w:rPr>
        <w:t xml:space="preserve"> ha</w:t>
      </w:r>
      <w:r w:rsidR="00742DDB">
        <w:rPr>
          <w:color w:val="auto"/>
        </w:rPr>
        <w:t>nno</w:t>
      </w:r>
      <w:r>
        <w:rPr>
          <w:color w:val="auto"/>
        </w:rPr>
        <w:t xml:space="preserve"> organizzato</w:t>
      </w:r>
      <w:r w:rsidR="00DC4B3E">
        <w:rPr>
          <w:color w:val="auto"/>
        </w:rPr>
        <w:t>, con il supporto della società in house RAM,</w:t>
      </w:r>
      <w:r>
        <w:rPr>
          <w:color w:val="auto"/>
        </w:rPr>
        <w:t xml:space="preserve"> </w:t>
      </w:r>
      <w:r w:rsidRPr="000F6CCE">
        <w:rPr>
          <w:color w:val="auto"/>
        </w:rPr>
        <w:t>l’iniziativa "</w:t>
      </w:r>
      <w:r w:rsidRPr="000F6CCE">
        <w:rPr>
          <w:i/>
          <w:iCs/>
          <w:color w:val="auto"/>
        </w:rPr>
        <w:t xml:space="preserve">Financing the </w:t>
      </w:r>
      <w:proofErr w:type="spellStart"/>
      <w:r w:rsidRPr="000F6CCE">
        <w:rPr>
          <w:i/>
          <w:iCs/>
          <w:color w:val="auto"/>
        </w:rPr>
        <w:t>maritime</w:t>
      </w:r>
      <w:proofErr w:type="spellEnd"/>
      <w:r w:rsidRPr="000F6CCE">
        <w:rPr>
          <w:i/>
          <w:iCs/>
          <w:color w:val="auto"/>
        </w:rPr>
        <w:t xml:space="preserve"> </w:t>
      </w:r>
      <w:proofErr w:type="spellStart"/>
      <w:r w:rsidRPr="000F6CCE">
        <w:rPr>
          <w:i/>
          <w:iCs/>
          <w:color w:val="auto"/>
        </w:rPr>
        <w:t>sector</w:t>
      </w:r>
      <w:proofErr w:type="spellEnd"/>
      <w:r w:rsidRPr="000F6CCE">
        <w:rPr>
          <w:i/>
          <w:iCs/>
          <w:color w:val="auto"/>
        </w:rPr>
        <w:t xml:space="preserve"> and </w:t>
      </w:r>
      <w:proofErr w:type="spellStart"/>
      <w:r w:rsidRPr="000F6CCE">
        <w:rPr>
          <w:i/>
          <w:iCs/>
          <w:color w:val="auto"/>
        </w:rPr>
        <w:t>Motorways</w:t>
      </w:r>
      <w:proofErr w:type="spellEnd"/>
      <w:r w:rsidRPr="000F6CCE">
        <w:rPr>
          <w:i/>
          <w:iCs/>
          <w:color w:val="auto"/>
        </w:rPr>
        <w:t xml:space="preserve"> of the Sea</w:t>
      </w:r>
      <w:r w:rsidRPr="000F6CCE">
        <w:rPr>
          <w:color w:val="auto"/>
        </w:rPr>
        <w:t>”</w:t>
      </w:r>
      <w:r w:rsidR="00742DDB">
        <w:rPr>
          <w:color w:val="auto"/>
        </w:rPr>
        <w:t>.</w:t>
      </w:r>
      <w:r w:rsidRPr="000F6CCE">
        <w:rPr>
          <w:color w:val="auto"/>
        </w:rPr>
        <w:t xml:space="preserve"> </w:t>
      </w:r>
    </w:p>
    <w:p w14:paraId="7AFA3A9F" w14:textId="77777777" w:rsidR="000F6CCE" w:rsidRPr="00242EC8" w:rsidRDefault="000F6CCE" w:rsidP="00C279A7">
      <w:pPr>
        <w:ind w:firstLine="709"/>
        <w:jc w:val="both"/>
        <w:rPr>
          <w:color w:val="auto"/>
        </w:rPr>
      </w:pPr>
      <w:r w:rsidRPr="00242EC8">
        <w:rPr>
          <w:color w:val="auto"/>
        </w:rPr>
        <w:t>L’evento ha consentito di focalizzare l’attenzione sulle specifiche esigenze di finanziamento del settore, presentare gli strumenti di finanziamento innovativi già disponibili, ivi inclusi gli schemi di combinazione di fondi (</w:t>
      </w:r>
      <w:proofErr w:type="spellStart"/>
      <w:r w:rsidRPr="008A178A">
        <w:rPr>
          <w:i/>
          <w:color w:val="auto"/>
        </w:rPr>
        <w:t>Blending</w:t>
      </w:r>
      <w:proofErr w:type="spellEnd"/>
      <w:r w:rsidRPr="00242EC8">
        <w:rPr>
          <w:color w:val="auto"/>
        </w:rPr>
        <w:t xml:space="preserve">), nonché sulle specifiche caratteristiche tecniche per potenziali progetti </w:t>
      </w:r>
      <w:proofErr w:type="spellStart"/>
      <w:r w:rsidRPr="00242EC8">
        <w:rPr>
          <w:color w:val="auto"/>
        </w:rPr>
        <w:t>MoS</w:t>
      </w:r>
      <w:proofErr w:type="spellEnd"/>
      <w:r w:rsidRPr="00242EC8">
        <w:rPr>
          <w:color w:val="auto"/>
        </w:rPr>
        <w:t xml:space="preserve"> di successo. In particolare, durante </w:t>
      </w:r>
      <w:r w:rsidR="00171D9E">
        <w:rPr>
          <w:color w:val="auto"/>
        </w:rPr>
        <w:t xml:space="preserve">l’evento </w:t>
      </w:r>
      <w:r w:rsidR="00742DDB">
        <w:rPr>
          <w:color w:val="auto"/>
        </w:rPr>
        <w:t>è emerso che</w:t>
      </w:r>
      <w:r w:rsidRPr="00242EC8">
        <w:rPr>
          <w:color w:val="auto"/>
        </w:rPr>
        <w:t xml:space="preserve"> il fabbisogno finanziario delle </w:t>
      </w:r>
      <w:proofErr w:type="spellStart"/>
      <w:r w:rsidR="00171D9E" w:rsidRPr="00242EC8">
        <w:rPr>
          <w:color w:val="auto"/>
        </w:rPr>
        <w:t>A</w:t>
      </w:r>
      <w:r w:rsidR="00171D9E">
        <w:rPr>
          <w:color w:val="auto"/>
        </w:rPr>
        <w:t>d</w:t>
      </w:r>
      <w:r w:rsidR="00171D9E" w:rsidRPr="00242EC8">
        <w:rPr>
          <w:color w:val="auto"/>
        </w:rPr>
        <w:t>M</w:t>
      </w:r>
      <w:proofErr w:type="spellEnd"/>
      <w:r w:rsidR="00171D9E" w:rsidRPr="00242EC8">
        <w:rPr>
          <w:color w:val="auto"/>
        </w:rPr>
        <w:t xml:space="preserve"> </w:t>
      </w:r>
      <w:r w:rsidRPr="00242EC8">
        <w:rPr>
          <w:color w:val="auto"/>
        </w:rPr>
        <w:t>è notevolmente superiore ai finanziamenti</w:t>
      </w:r>
      <w:r w:rsidR="00742DDB">
        <w:rPr>
          <w:color w:val="auto"/>
        </w:rPr>
        <w:t xml:space="preserve"> previsti per il settore, pertanto</w:t>
      </w:r>
      <w:r w:rsidRPr="00242EC8">
        <w:rPr>
          <w:color w:val="auto"/>
        </w:rPr>
        <w:t xml:space="preserve"> schemi</w:t>
      </w:r>
      <w:r w:rsidR="00742DDB">
        <w:rPr>
          <w:color w:val="auto"/>
        </w:rPr>
        <w:t xml:space="preserve"> innovativi</w:t>
      </w:r>
      <w:r w:rsidRPr="00242EC8">
        <w:rPr>
          <w:color w:val="auto"/>
        </w:rPr>
        <w:t xml:space="preserve"> di incentivazione sia </w:t>
      </w:r>
      <w:r w:rsidR="00742DDB">
        <w:rPr>
          <w:color w:val="auto"/>
        </w:rPr>
        <w:t>de</w:t>
      </w:r>
      <w:r w:rsidRPr="00242EC8">
        <w:rPr>
          <w:color w:val="auto"/>
        </w:rPr>
        <w:t xml:space="preserve">ll’offerta che </w:t>
      </w:r>
      <w:r w:rsidR="00742DDB">
        <w:rPr>
          <w:color w:val="auto"/>
        </w:rPr>
        <w:t>de</w:t>
      </w:r>
      <w:r w:rsidRPr="00242EC8">
        <w:rPr>
          <w:color w:val="auto"/>
        </w:rPr>
        <w:t xml:space="preserve">lla domanda </w:t>
      </w:r>
      <w:r w:rsidR="00742DDB">
        <w:rPr>
          <w:color w:val="auto"/>
        </w:rPr>
        <w:t>costituiranno elemento</w:t>
      </w:r>
      <w:r w:rsidRPr="00242EC8">
        <w:rPr>
          <w:color w:val="auto"/>
        </w:rPr>
        <w:t xml:space="preserve"> indispensabile per</w:t>
      </w:r>
      <w:r w:rsidR="00742DDB">
        <w:rPr>
          <w:color w:val="auto"/>
        </w:rPr>
        <w:t xml:space="preserve"> lo sviluppo delle </w:t>
      </w:r>
      <w:proofErr w:type="spellStart"/>
      <w:r w:rsidR="00742DDB" w:rsidRPr="003479AB">
        <w:rPr>
          <w:color w:val="auto"/>
        </w:rPr>
        <w:t>A</w:t>
      </w:r>
      <w:r w:rsidR="00171D9E" w:rsidRPr="003479AB">
        <w:rPr>
          <w:color w:val="auto"/>
        </w:rPr>
        <w:t>d</w:t>
      </w:r>
      <w:r w:rsidR="00742DDB" w:rsidRPr="003479AB">
        <w:rPr>
          <w:color w:val="auto"/>
        </w:rPr>
        <w:t>M</w:t>
      </w:r>
      <w:proofErr w:type="spellEnd"/>
      <w:r w:rsidR="00371A81" w:rsidRPr="003479AB">
        <w:rPr>
          <w:color w:val="auto"/>
        </w:rPr>
        <w:t xml:space="preserve"> de</w:t>
      </w:r>
      <w:r w:rsidR="00E72A22" w:rsidRPr="003479AB">
        <w:rPr>
          <w:color w:val="auto"/>
        </w:rPr>
        <w:t>l</w:t>
      </w:r>
      <w:r w:rsidR="00371A81" w:rsidRPr="003479AB">
        <w:rPr>
          <w:color w:val="auto"/>
        </w:rPr>
        <w:t xml:space="preserve"> </w:t>
      </w:r>
      <w:r w:rsidR="00371A81">
        <w:rPr>
          <w:color w:val="auto"/>
        </w:rPr>
        <w:t>futuro</w:t>
      </w:r>
      <w:r w:rsidR="00742DDB">
        <w:rPr>
          <w:color w:val="auto"/>
        </w:rPr>
        <w:t xml:space="preserve"> ed</w:t>
      </w:r>
      <w:r w:rsidRPr="00242EC8">
        <w:rPr>
          <w:color w:val="auto"/>
        </w:rPr>
        <w:t xml:space="preserve"> il raggiungimento dei target ambientali </w:t>
      </w:r>
      <w:r w:rsidR="00742DDB">
        <w:rPr>
          <w:color w:val="auto"/>
        </w:rPr>
        <w:t>condivisi a livello europeo</w:t>
      </w:r>
      <w:r w:rsidRPr="00242EC8">
        <w:rPr>
          <w:color w:val="auto"/>
        </w:rPr>
        <w:t xml:space="preserve">. </w:t>
      </w:r>
    </w:p>
    <w:p w14:paraId="6CA7D088" w14:textId="77777777" w:rsidR="00DC3EF2" w:rsidRDefault="00DC3EF2" w:rsidP="006C4718">
      <w:pPr>
        <w:ind w:firstLine="708"/>
        <w:jc w:val="both"/>
      </w:pPr>
    </w:p>
    <w:p w14:paraId="7CF7EB76" w14:textId="77777777" w:rsidR="0044165A" w:rsidRDefault="004E7C8E" w:rsidP="006C4718">
      <w:pPr>
        <w:jc w:val="both"/>
        <w:rPr>
          <w:i/>
          <w:iCs/>
        </w:rPr>
      </w:pPr>
      <w:r>
        <w:rPr>
          <w:b/>
          <w:bCs/>
        </w:rPr>
        <w:t>S</w:t>
      </w:r>
      <w:r w:rsidR="00D93A7C" w:rsidRPr="00F6434E">
        <w:rPr>
          <w:b/>
          <w:bCs/>
        </w:rPr>
        <w:t>istema di gestione del t</w:t>
      </w:r>
      <w:r w:rsidR="00D93A7C">
        <w:rPr>
          <w:b/>
          <w:bCs/>
        </w:rPr>
        <w:t>r</w:t>
      </w:r>
      <w:r w:rsidR="00D93A7C" w:rsidRPr="00F6434E">
        <w:rPr>
          <w:b/>
          <w:bCs/>
        </w:rPr>
        <w:t>affico ferrov</w:t>
      </w:r>
      <w:r w:rsidR="00D93A7C">
        <w:rPr>
          <w:b/>
          <w:bCs/>
        </w:rPr>
        <w:t>i</w:t>
      </w:r>
      <w:r w:rsidR="00D93A7C" w:rsidRPr="00F6434E">
        <w:rPr>
          <w:b/>
          <w:bCs/>
        </w:rPr>
        <w:t xml:space="preserve">ario </w:t>
      </w:r>
      <w:r w:rsidR="00C6166A" w:rsidRPr="00F6434E">
        <w:rPr>
          <w:b/>
          <w:bCs/>
        </w:rPr>
        <w:t>ERTM</w:t>
      </w:r>
      <w:r w:rsidR="00C6166A" w:rsidRPr="00AE164C">
        <w:rPr>
          <w:b/>
          <w:bCs/>
        </w:rPr>
        <w:t>S (</w:t>
      </w:r>
      <w:proofErr w:type="spellStart"/>
      <w:r w:rsidR="00C6166A" w:rsidRPr="00AE164C">
        <w:rPr>
          <w:b/>
          <w:i/>
          <w:iCs/>
        </w:rPr>
        <w:t>European</w:t>
      </w:r>
      <w:proofErr w:type="spellEnd"/>
      <w:r w:rsidR="00C6166A" w:rsidRPr="00AE164C">
        <w:rPr>
          <w:b/>
          <w:i/>
          <w:iCs/>
        </w:rPr>
        <w:t xml:space="preserve"> </w:t>
      </w:r>
      <w:proofErr w:type="spellStart"/>
      <w:r w:rsidR="00C6166A" w:rsidRPr="00AE164C">
        <w:rPr>
          <w:b/>
          <w:i/>
          <w:iCs/>
        </w:rPr>
        <w:t>Rail</w:t>
      </w:r>
      <w:proofErr w:type="spellEnd"/>
      <w:r w:rsidR="00C6166A" w:rsidRPr="00AE164C">
        <w:rPr>
          <w:b/>
          <w:i/>
          <w:iCs/>
        </w:rPr>
        <w:t xml:space="preserve"> Traffic Management System)</w:t>
      </w:r>
    </w:p>
    <w:p w14:paraId="4E110A06" w14:textId="77777777" w:rsidR="00D65C93" w:rsidRDefault="00D65C93" w:rsidP="006C4718">
      <w:pPr>
        <w:jc w:val="both"/>
        <w:rPr>
          <w:i/>
          <w:iCs/>
        </w:rPr>
      </w:pPr>
    </w:p>
    <w:p w14:paraId="7EBA6144" w14:textId="77777777" w:rsidR="004A70DA" w:rsidRDefault="004A70DA" w:rsidP="004A70DA">
      <w:pPr>
        <w:ind w:firstLine="708"/>
        <w:jc w:val="both"/>
      </w:pPr>
      <w:r>
        <w:t>Tale priorità si prefigge l'attuazione di un sistema di gestione del traffico ferroviario attraverso un sistema di segnalamento e controllo armonizzato a livello UE al fine di garantire maggiore sicurezza</w:t>
      </w:r>
      <w:r w:rsidR="00411723">
        <w:t xml:space="preserve"> e piena interoperabilità</w:t>
      </w:r>
      <w:r>
        <w:t xml:space="preserve">. Priorità verrà data alle </w:t>
      </w:r>
      <w:r w:rsidRPr="00371A81">
        <w:t xml:space="preserve">connessioni </w:t>
      </w:r>
      <w:r w:rsidR="00371A81" w:rsidRPr="00371A81">
        <w:rPr>
          <w:iCs/>
        </w:rPr>
        <w:t>di</w:t>
      </w:r>
      <w:r w:rsidR="00371A81">
        <w:rPr>
          <w:iCs/>
        </w:rPr>
        <w:t xml:space="preserve"> natura</w:t>
      </w:r>
      <w:r w:rsidR="00371A81" w:rsidRPr="00371A81">
        <w:rPr>
          <w:iCs/>
        </w:rPr>
        <w:t xml:space="preserve"> transfrontalier</w:t>
      </w:r>
      <w:r w:rsidR="00371A81">
        <w:rPr>
          <w:iCs/>
        </w:rPr>
        <w:t>a</w:t>
      </w:r>
      <w:r w:rsidRPr="00371A81">
        <w:t>.</w:t>
      </w:r>
    </w:p>
    <w:p w14:paraId="4F326CC8" w14:textId="77777777" w:rsidR="004A70DA" w:rsidRDefault="004A70DA" w:rsidP="004A70DA">
      <w:pPr>
        <w:ind w:firstLine="708"/>
        <w:jc w:val="both"/>
      </w:pPr>
      <w:r>
        <w:t xml:space="preserve">Nel 2015, </w:t>
      </w:r>
      <w:r w:rsidR="00371A81">
        <w:t xml:space="preserve">l’allora </w:t>
      </w:r>
      <w:r>
        <w:t xml:space="preserve">Coordinatore Karel </w:t>
      </w:r>
      <w:proofErr w:type="spellStart"/>
      <w:r>
        <w:t>Vinck</w:t>
      </w:r>
      <w:proofErr w:type="spellEnd"/>
      <w:r>
        <w:t xml:space="preserve"> ha pubblicato un piano di lavoro al fine di accelerare l'attuazione dell'ERTMS in Europa. Il programma denominato “</w:t>
      </w:r>
      <w:proofErr w:type="spellStart"/>
      <w:r w:rsidRPr="008012D4">
        <w:rPr>
          <w:i/>
        </w:rPr>
        <w:t>Breakthrough</w:t>
      </w:r>
      <w:proofErr w:type="spellEnd"/>
      <w:r w:rsidRPr="008012D4">
        <w:rPr>
          <w:i/>
        </w:rPr>
        <w:t xml:space="preserve"> </w:t>
      </w:r>
      <w:proofErr w:type="spellStart"/>
      <w:r w:rsidRPr="008012D4">
        <w:rPr>
          <w:i/>
        </w:rPr>
        <w:t>Programme</w:t>
      </w:r>
      <w:proofErr w:type="spellEnd"/>
      <w:r>
        <w:t xml:space="preserve">” si </w:t>
      </w:r>
      <w:r w:rsidR="00371A81">
        <w:t xml:space="preserve">è </w:t>
      </w:r>
      <w:r>
        <w:t>basa</w:t>
      </w:r>
      <w:r w:rsidR="00371A81">
        <w:t>to</w:t>
      </w:r>
      <w:r>
        <w:t xml:space="preserve"> su </w:t>
      </w:r>
      <w:r>
        <w:lastRenderedPageBreak/>
        <w:t xml:space="preserve">quattro principi. Il primo principio </w:t>
      </w:r>
      <w:r w:rsidR="00371A81">
        <w:t>era</w:t>
      </w:r>
      <w:r>
        <w:t xml:space="preserve"> l'approccio verso gli utilizzatori del sistema piuttosto che verso i progettisti, ciò </w:t>
      </w:r>
      <w:r w:rsidR="00371A81">
        <w:t>con</w:t>
      </w:r>
      <w:r>
        <w:t xml:space="preserve"> l’obiettivo di stimolare la competitività tra le </w:t>
      </w:r>
      <w:r w:rsidRPr="00E75BC8">
        <w:t>imprese</w:t>
      </w:r>
      <w:r>
        <w:t xml:space="preserve"> ferroviarie in qualità di utenti. In secondo luogo, </w:t>
      </w:r>
      <w:r w:rsidR="00371A81">
        <w:t xml:space="preserve">ha </w:t>
      </w:r>
      <w:r>
        <w:t>sollecita</w:t>
      </w:r>
      <w:r w:rsidR="00371A81">
        <w:t>to</w:t>
      </w:r>
      <w:r>
        <w:t xml:space="preserve"> la conformità delle apparecchiature di bordo ai più recenti standard (“</w:t>
      </w:r>
      <w:r w:rsidRPr="00450E48">
        <w:rPr>
          <w:i/>
        </w:rPr>
        <w:t xml:space="preserve">Baseline </w:t>
      </w:r>
      <w:r>
        <w:t>3”). Il terzo principio</w:t>
      </w:r>
      <w:r w:rsidR="00371A81">
        <w:t xml:space="preserve"> ha</w:t>
      </w:r>
      <w:r>
        <w:t xml:space="preserve"> indica</w:t>
      </w:r>
      <w:r w:rsidR="00371A81">
        <w:t>to</w:t>
      </w:r>
      <w:r>
        <w:t xml:space="preserve"> </w:t>
      </w:r>
      <w:r w:rsidR="00371A81">
        <w:t>come</w:t>
      </w:r>
      <w:r>
        <w:t xml:space="preserve"> massima priorità l'implementazione coordinata del sistema; infine, il quarto principio</w:t>
      </w:r>
      <w:r w:rsidR="00371A81">
        <w:t xml:space="preserve"> ha</w:t>
      </w:r>
      <w:r>
        <w:t xml:space="preserve"> punta</w:t>
      </w:r>
      <w:r w:rsidR="00371A81">
        <w:t>to</w:t>
      </w:r>
      <w:r>
        <w:t xml:space="preserve"> alla riduzione dei costi del sistema per ERTMS, anche attraverso l'armonizzazione delle norme. Gli Stati membri, a loro volta si sono impegnati a garantire di dotare i Corridoi del sistema, utilizzando le opportunità finanziarie fornite dal periodo di programmazione in corso (2014-2020) e futuro (2021-2027). In questo quadro, un insieme completo, stabile e maturo di specifiche </w:t>
      </w:r>
      <w:r w:rsidR="00371A81">
        <w:t>rappresenta</w:t>
      </w:r>
      <w:r>
        <w:t xml:space="preserve"> la </w:t>
      </w:r>
      <w:proofErr w:type="gramStart"/>
      <w:r>
        <w:t>pre-condizione</w:t>
      </w:r>
      <w:proofErr w:type="gramEnd"/>
      <w:r>
        <w:t xml:space="preserve"> per il funzionamento efficace del sistema. </w:t>
      </w:r>
    </w:p>
    <w:p w14:paraId="5C8410E4" w14:textId="77777777" w:rsidR="004A70DA" w:rsidRDefault="004A70DA" w:rsidP="004A70DA">
      <w:pPr>
        <w:ind w:firstLine="708"/>
        <w:jc w:val="both"/>
      </w:pPr>
      <w:r>
        <w:t>Nel 2017 è stato poi adottato i</w:t>
      </w:r>
      <w:r>
        <w:rPr>
          <w:rFonts w:hint="eastAsia"/>
        </w:rPr>
        <w:t xml:space="preserve">l </w:t>
      </w:r>
      <w:r>
        <w:t>P</w:t>
      </w:r>
      <w:r>
        <w:rPr>
          <w:rFonts w:hint="eastAsia"/>
        </w:rPr>
        <w:t xml:space="preserve">iano </w:t>
      </w:r>
      <w:r>
        <w:t>E</w:t>
      </w:r>
      <w:r>
        <w:rPr>
          <w:rFonts w:hint="eastAsia"/>
        </w:rPr>
        <w:t xml:space="preserve">uropeo di sviluppo </w:t>
      </w:r>
      <w:r>
        <w:t xml:space="preserve">dell’ERTMS </w:t>
      </w:r>
      <w:r>
        <w:rPr>
          <w:rFonts w:hint="eastAsia"/>
        </w:rPr>
        <w:t>(</w:t>
      </w:r>
      <w:r w:rsidRPr="00550978">
        <w:rPr>
          <w:i/>
        </w:rPr>
        <w:t>ERTMS Depl</w:t>
      </w:r>
      <w:r>
        <w:rPr>
          <w:i/>
        </w:rPr>
        <w:t>o</w:t>
      </w:r>
      <w:r w:rsidRPr="00550978">
        <w:rPr>
          <w:i/>
        </w:rPr>
        <w:t>yment Plan -</w:t>
      </w:r>
      <w:r w:rsidR="00B76C6E">
        <w:rPr>
          <w:i/>
        </w:rPr>
        <w:t xml:space="preserve"> </w:t>
      </w:r>
      <w:r w:rsidRPr="00550978">
        <w:rPr>
          <w:rFonts w:hint="eastAsia"/>
          <w:i/>
        </w:rPr>
        <w:t>ED</w:t>
      </w:r>
      <w:r w:rsidRPr="00550978">
        <w:rPr>
          <w:i/>
        </w:rPr>
        <w:t>P</w:t>
      </w:r>
      <w:r>
        <w:t>) che ha seguito questo approccio ed ha fissato le prime scadenze</w:t>
      </w:r>
      <w:r w:rsidR="00411723">
        <w:t xml:space="preserve"> di attuazione</w:t>
      </w:r>
      <w:r w:rsidR="00451C6B">
        <w:t xml:space="preserve"> lungo i Corridoi</w:t>
      </w:r>
      <w:r>
        <w:t xml:space="preserve"> al 2023. Nel definire </w:t>
      </w:r>
      <w:r w:rsidR="00411723">
        <w:t xml:space="preserve">l’implementazione </w:t>
      </w:r>
      <w:r>
        <w:t xml:space="preserve">a livello di rete, gli Stati membri </w:t>
      </w:r>
      <w:r w:rsidR="00411723">
        <w:t xml:space="preserve">sono </w:t>
      </w:r>
      <w:r w:rsidR="00846B8F">
        <w:t xml:space="preserve">continuamente </w:t>
      </w:r>
      <w:r w:rsidR="00411723">
        <w:t xml:space="preserve">chiamati ad </w:t>
      </w:r>
      <w:r>
        <w:t xml:space="preserve">allineare i loro Piani di attuazione nazionali </w:t>
      </w:r>
      <w:r w:rsidR="00411723">
        <w:t xml:space="preserve">al </w:t>
      </w:r>
      <w:proofErr w:type="gramStart"/>
      <w:r w:rsidR="00411723">
        <w:t>predetto</w:t>
      </w:r>
      <w:proofErr w:type="gramEnd"/>
      <w:r w:rsidR="00411723">
        <w:t xml:space="preserve"> piano europeo</w:t>
      </w:r>
      <w:r>
        <w:t xml:space="preserve">. </w:t>
      </w:r>
    </w:p>
    <w:p w14:paraId="5188EBAB" w14:textId="77777777" w:rsidR="002C36C0" w:rsidRDefault="002C36C0" w:rsidP="006C4718">
      <w:pPr>
        <w:jc w:val="both"/>
      </w:pPr>
    </w:p>
    <w:p w14:paraId="0CC5EE18" w14:textId="77777777" w:rsidR="00385BD4" w:rsidRDefault="00C6166A" w:rsidP="006C4718">
      <w:pPr>
        <w:jc w:val="both"/>
        <w:rPr>
          <w:b/>
          <w:bCs/>
        </w:rPr>
      </w:pPr>
      <w:r>
        <w:rPr>
          <w:b/>
          <w:bCs/>
        </w:rPr>
        <w:t>XI.2.1 -</w:t>
      </w:r>
      <w:r w:rsidR="004E7C8E">
        <w:rPr>
          <w:b/>
          <w:bCs/>
        </w:rPr>
        <w:t xml:space="preserve"> P</w:t>
      </w:r>
      <w:r>
        <w:rPr>
          <w:b/>
          <w:bCs/>
        </w:rPr>
        <w:t xml:space="preserve">iani di Lavoro dei Corridoi </w:t>
      </w:r>
      <w:r w:rsidR="0016208D">
        <w:rPr>
          <w:b/>
          <w:bCs/>
        </w:rPr>
        <w:t>della rete centrale</w:t>
      </w:r>
      <w:r>
        <w:rPr>
          <w:b/>
          <w:bCs/>
        </w:rPr>
        <w:t xml:space="preserve"> e priorità orizzontali</w:t>
      </w:r>
    </w:p>
    <w:p w14:paraId="204BC292" w14:textId="77777777" w:rsidR="0044165A" w:rsidRDefault="0044165A" w:rsidP="006C4718">
      <w:pPr>
        <w:jc w:val="both"/>
        <w:rPr>
          <w:b/>
          <w:bCs/>
        </w:rPr>
      </w:pPr>
    </w:p>
    <w:p w14:paraId="15742931" w14:textId="77777777" w:rsidR="00343FB0" w:rsidRDefault="00343FB0" w:rsidP="00343FB0">
      <w:pPr>
        <w:ind w:firstLine="708"/>
        <w:jc w:val="both"/>
      </w:pPr>
      <w:r>
        <w:t>La Commissione Europea, d’intesa con gli Stati interessati, ha avviato, ai sensi del Regolamento (UE) n. 1315/2013, un processo di consultazione, per ciascun Corridoio, finalizzato all’approvazione di uno specifico Piano di Lavoro contenente lo stato dell’arte, il grado di raggiungimento degli standard tecnici della rete, richiesti dalla normativa di riferimento, e tutti gli elementi atti a garantire un’effettiva multimodalità. I suddetti Piani di Lavoro analizzano, pertanto, la situazione dei Corridoi individuandone, in particolare, le parti rilevanti, i colli di bottiglia e i problemi di interoperabilità, e</w:t>
      </w:r>
      <w:r w:rsidR="00846B8F">
        <w:t>,</w:t>
      </w:r>
      <w:r>
        <w:t xml:space="preserve"> identificandone le azioni da intraprendere, la tempistica e le risorse finanziarie necessarie. </w:t>
      </w:r>
    </w:p>
    <w:p w14:paraId="245D0196" w14:textId="77777777" w:rsidR="00343FB0" w:rsidRDefault="00343FB0" w:rsidP="00343FB0">
      <w:pPr>
        <w:ind w:firstLine="708"/>
        <w:jc w:val="both"/>
        <w:rPr>
          <w:color w:val="FF0000"/>
        </w:rPr>
      </w:pPr>
      <w:r>
        <w:t xml:space="preserve">I Piani di Lavoro guidano l’implementazione dei Corridoi fino al raggiungimento degli obiettivi fissati dal Regolamento (UE) n. 1315/2013 per il 2030 </w:t>
      </w:r>
      <w:r w:rsidRPr="00242EC8">
        <w:t>e prevedono anche un’analisi della lista dei progetti ad essi correlati che rappresenta lo strumento principale</w:t>
      </w:r>
      <w:r w:rsidR="00E06434">
        <w:t>, dinamico e continuamente aggiornabile,</w:t>
      </w:r>
      <w:r w:rsidRPr="00242EC8">
        <w:t xml:space="preserve"> per monitorare i progressi nello sviluppo dei Corridoi ed al contempo per pianificarne il completamento.</w:t>
      </w:r>
      <w:r w:rsidRPr="00242EC8">
        <w:rPr>
          <w:color w:val="FF0000"/>
        </w:rPr>
        <w:t xml:space="preserve"> </w:t>
      </w:r>
    </w:p>
    <w:p w14:paraId="1F12A798" w14:textId="77777777" w:rsidR="00343FB0" w:rsidRDefault="00343FB0" w:rsidP="00343FB0">
      <w:pPr>
        <w:ind w:firstLine="708"/>
        <w:jc w:val="both"/>
      </w:pPr>
      <w:r>
        <w:t xml:space="preserve">A valle del processo di consultazione di cui sopra, nel 2018 è stata approvata, per quanto concerne l’Italia, la terza versione del Piano di Lavoro del Corridoio Baltico-Adriatico, del Reno-Alpi, dello Scandinavo-Mediterraneo e del Mediteranno. È stato altresì approvato anche il terzo Piano di Lavoro relativo all’implementazione dell’ERTMS.  </w:t>
      </w:r>
    </w:p>
    <w:p w14:paraId="29B42C5D" w14:textId="77777777" w:rsidR="00343FB0" w:rsidRPr="000B4FB4" w:rsidRDefault="00343FB0" w:rsidP="00343FB0">
      <w:pPr>
        <w:ind w:firstLine="708"/>
        <w:jc w:val="both"/>
        <w:rPr>
          <w:color w:val="auto"/>
        </w:rPr>
      </w:pPr>
      <w:r w:rsidRPr="000B4FB4">
        <w:rPr>
          <w:color w:val="auto"/>
        </w:rPr>
        <w:t xml:space="preserve">Tali versioni contengono: </w:t>
      </w:r>
    </w:p>
    <w:p w14:paraId="0016C3D5" w14:textId="77777777" w:rsidR="00343FB0" w:rsidRPr="000B4FB4" w:rsidRDefault="00343FB0" w:rsidP="00F63DA4">
      <w:pPr>
        <w:pStyle w:val="Paragrafoelenco"/>
        <w:numPr>
          <w:ilvl w:val="0"/>
          <w:numId w:val="52"/>
        </w:numPr>
        <w:ind w:left="284" w:hanging="284"/>
        <w:rPr>
          <w:color w:val="auto"/>
        </w:rPr>
      </w:pPr>
      <w:r w:rsidRPr="000B4FB4">
        <w:rPr>
          <w:color w:val="auto"/>
        </w:rPr>
        <w:t>la valutazione dell’impatto degli interventi, anche in termini di parametri tecnici e infrastrutturali per lo sviluppo dei Corridoi, il loro contributo ai KPI (</w:t>
      </w:r>
      <w:r w:rsidRPr="000B4FB4">
        <w:rPr>
          <w:i/>
          <w:color w:val="auto"/>
        </w:rPr>
        <w:t xml:space="preserve">Key Performance </w:t>
      </w:r>
      <w:proofErr w:type="spellStart"/>
      <w:r w:rsidRPr="000B4FB4">
        <w:rPr>
          <w:i/>
          <w:color w:val="auto"/>
        </w:rPr>
        <w:t>Indicator</w:t>
      </w:r>
      <w:proofErr w:type="spellEnd"/>
      <w:r w:rsidRPr="000B4FB4">
        <w:rPr>
          <w:color w:val="auto"/>
        </w:rPr>
        <w:t>) e la coerenza con la pianificazione nazionale di settore;</w:t>
      </w:r>
    </w:p>
    <w:p w14:paraId="04635FE8" w14:textId="77777777" w:rsidR="00343FB0" w:rsidRPr="000B4FB4" w:rsidRDefault="00343FB0" w:rsidP="00F63DA4">
      <w:pPr>
        <w:pStyle w:val="Paragrafoelenco"/>
        <w:numPr>
          <w:ilvl w:val="0"/>
          <w:numId w:val="52"/>
        </w:numPr>
        <w:ind w:left="284" w:hanging="284"/>
        <w:rPr>
          <w:color w:val="auto"/>
        </w:rPr>
      </w:pPr>
      <w:r w:rsidRPr="000B4FB4">
        <w:rPr>
          <w:color w:val="auto"/>
        </w:rPr>
        <w:t>le misure di implementazione del Corridoio (piano di rimozione delle barriere tecniche, amministrative, operative e in prossimità dei nodi);</w:t>
      </w:r>
    </w:p>
    <w:p w14:paraId="7362EA1F" w14:textId="77777777" w:rsidR="00343FB0" w:rsidRPr="005118A9" w:rsidRDefault="00343FB0" w:rsidP="00F63DA4">
      <w:pPr>
        <w:pStyle w:val="Paragrafoelenco"/>
        <w:numPr>
          <w:ilvl w:val="0"/>
          <w:numId w:val="52"/>
        </w:numPr>
        <w:ind w:left="284" w:hanging="284"/>
        <w:rPr>
          <w:color w:val="auto"/>
        </w:rPr>
      </w:pPr>
      <w:r w:rsidRPr="000B4FB4">
        <w:rPr>
          <w:color w:val="auto"/>
        </w:rPr>
        <w:t>l’impatto del Corridoio sull’ambiente.</w:t>
      </w:r>
    </w:p>
    <w:p w14:paraId="34BCA084" w14:textId="77777777" w:rsidR="00343FB0" w:rsidRDefault="00343FB0" w:rsidP="00F63DA4">
      <w:pPr>
        <w:pStyle w:val="Paragrafoelenco"/>
        <w:ind w:left="0" w:firstLine="709"/>
        <w:rPr>
          <w:color w:val="auto"/>
        </w:rPr>
      </w:pPr>
      <w:r w:rsidRPr="00DC4B3E">
        <w:rPr>
          <w:color w:val="auto"/>
        </w:rPr>
        <w:t xml:space="preserve">Nel corso del 2019 si è svolto l’esercizio di aggiornamento </w:t>
      </w:r>
      <w:r w:rsidR="00451C6B">
        <w:rPr>
          <w:color w:val="auto"/>
        </w:rPr>
        <w:t xml:space="preserve">sia </w:t>
      </w:r>
      <w:r w:rsidRPr="00DC4B3E">
        <w:rPr>
          <w:color w:val="auto"/>
        </w:rPr>
        <w:t xml:space="preserve">dei Piani di Lavoro attualmente in vigore </w:t>
      </w:r>
      <w:r w:rsidR="00451C6B">
        <w:rPr>
          <w:color w:val="auto"/>
        </w:rPr>
        <w:t xml:space="preserve">che </w:t>
      </w:r>
      <w:r w:rsidRPr="00DC4B3E">
        <w:rPr>
          <w:color w:val="auto"/>
        </w:rPr>
        <w:t>della list</w:t>
      </w:r>
      <w:r w:rsidR="00846B8F">
        <w:rPr>
          <w:color w:val="auto"/>
        </w:rPr>
        <w:t>a dei progetti ad essi correlata</w:t>
      </w:r>
      <w:r w:rsidRPr="00DC4B3E">
        <w:rPr>
          <w:color w:val="auto"/>
        </w:rPr>
        <w:t xml:space="preserve">. Alla base dei Piani di </w:t>
      </w:r>
      <w:r w:rsidR="00451C6B">
        <w:rPr>
          <w:color w:val="auto"/>
        </w:rPr>
        <w:t>L</w:t>
      </w:r>
      <w:r w:rsidRPr="00DC4B3E">
        <w:rPr>
          <w:color w:val="auto"/>
        </w:rPr>
        <w:t>avoro sono posti gli atti di indirizzo strategico del settore trasporti di ciascun Stato Membro, i programmi di finanziamento a livello nazionale ed europeo, i programmi di attuazione delle politiche europee come</w:t>
      </w:r>
      <w:r w:rsidR="00846B8F">
        <w:rPr>
          <w:color w:val="auto"/>
        </w:rPr>
        <w:t>,</w:t>
      </w:r>
      <w:r w:rsidRPr="00DC4B3E">
        <w:rPr>
          <w:color w:val="auto"/>
        </w:rPr>
        <w:t xml:space="preserve"> </w:t>
      </w:r>
      <w:r w:rsidR="00846B8F">
        <w:rPr>
          <w:color w:val="auto"/>
        </w:rPr>
        <w:t xml:space="preserve">ad esempio, </w:t>
      </w:r>
      <w:r w:rsidRPr="00DC4B3E">
        <w:rPr>
          <w:color w:val="auto"/>
        </w:rPr>
        <w:t xml:space="preserve">i piani di sviluppo dei Corridoi Ferroviari Merci, il piano di attuazione dell’ERTMS, il piano di attuazione delle Autostrade del Mare, le fasi di sviluppo delle soluzioni telematiche e tecnologiche come l’ITS o l’adozione di carburanti alternativi (descritti in dettaglio nei </w:t>
      </w:r>
      <w:r w:rsidR="0037642B">
        <w:rPr>
          <w:color w:val="auto"/>
        </w:rPr>
        <w:t>b</w:t>
      </w:r>
      <w:r w:rsidRPr="00DC4B3E">
        <w:rPr>
          <w:color w:val="auto"/>
        </w:rPr>
        <w:t>ox di approfondimento</w:t>
      </w:r>
      <w:r w:rsidR="0037642B">
        <w:rPr>
          <w:color w:val="auto"/>
        </w:rPr>
        <w:t xml:space="preserve"> </w:t>
      </w:r>
      <w:r w:rsidR="0037642B" w:rsidRPr="00C279A7">
        <w:rPr>
          <w:color w:val="auto"/>
        </w:rPr>
        <w:t>rispettivamente</w:t>
      </w:r>
      <w:r w:rsidRPr="00C279A7">
        <w:rPr>
          <w:color w:val="auto"/>
        </w:rPr>
        <w:t xml:space="preserve"> n.</w:t>
      </w:r>
      <w:r w:rsidR="00B93AB8" w:rsidRPr="00F63DA4">
        <w:rPr>
          <w:color w:val="auto"/>
        </w:rPr>
        <w:t xml:space="preserve"> 3</w:t>
      </w:r>
      <w:r w:rsidR="00B93AB8" w:rsidRPr="00C279A7">
        <w:rPr>
          <w:color w:val="auto"/>
        </w:rPr>
        <w:t xml:space="preserve"> </w:t>
      </w:r>
      <w:r w:rsidRPr="00C279A7">
        <w:rPr>
          <w:color w:val="auto"/>
        </w:rPr>
        <w:t>e n.</w:t>
      </w:r>
      <w:r w:rsidR="00B93AB8" w:rsidRPr="00F63DA4">
        <w:rPr>
          <w:color w:val="auto"/>
        </w:rPr>
        <w:t xml:space="preserve"> </w:t>
      </w:r>
      <w:r w:rsidR="00B93AB8" w:rsidRPr="00C279A7">
        <w:rPr>
          <w:color w:val="auto"/>
        </w:rPr>
        <w:t>4</w:t>
      </w:r>
      <w:r w:rsidRPr="00DC4B3E">
        <w:rPr>
          <w:color w:val="auto"/>
        </w:rPr>
        <w:t>) ed altre iniziative promosse dalle parti interessate.</w:t>
      </w:r>
      <w:r w:rsidRPr="002230B0">
        <w:rPr>
          <w:color w:val="auto"/>
        </w:rPr>
        <w:t xml:space="preserve"> </w:t>
      </w:r>
    </w:p>
    <w:p w14:paraId="4366B5F4" w14:textId="77777777" w:rsidR="00343FB0" w:rsidRPr="00242EC8" w:rsidRDefault="00343FB0" w:rsidP="00343FB0">
      <w:pPr>
        <w:ind w:firstLine="708"/>
        <w:jc w:val="both"/>
        <w:rPr>
          <w:color w:val="auto"/>
        </w:rPr>
      </w:pPr>
      <w:r w:rsidRPr="00242EC8">
        <w:rPr>
          <w:color w:val="auto"/>
        </w:rPr>
        <w:t xml:space="preserve">Per quanto attiene il piano di attuazione della priorità orizzontale </w:t>
      </w:r>
      <w:r w:rsidRPr="00242EC8">
        <w:rPr>
          <w:iCs/>
          <w:color w:val="auto"/>
        </w:rPr>
        <w:t>Autostrade del Mare</w:t>
      </w:r>
      <w:r w:rsidRPr="00242EC8">
        <w:rPr>
          <w:color w:val="auto"/>
        </w:rPr>
        <w:t xml:space="preserve">, è stato altresì elaborato, dopo un lungo percorso di consultazione avviato nel 2016, il </w:t>
      </w:r>
      <w:r w:rsidR="00337086">
        <w:rPr>
          <w:color w:val="auto"/>
        </w:rPr>
        <w:t>p</w:t>
      </w:r>
      <w:r w:rsidRPr="00242EC8">
        <w:rPr>
          <w:color w:val="auto"/>
        </w:rPr>
        <w:t>iano di attuazione “</w:t>
      </w:r>
      <w:proofErr w:type="spellStart"/>
      <w:r w:rsidRPr="00242EC8">
        <w:rPr>
          <w:i/>
          <w:iCs/>
          <w:color w:val="auto"/>
        </w:rPr>
        <w:t>Motorways</w:t>
      </w:r>
      <w:proofErr w:type="spellEnd"/>
      <w:r w:rsidRPr="00242EC8">
        <w:rPr>
          <w:i/>
          <w:iCs/>
          <w:color w:val="auto"/>
        </w:rPr>
        <w:t xml:space="preserve"> of the Sea - </w:t>
      </w:r>
      <w:proofErr w:type="spellStart"/>
      <w:r w:rsidRPr="00242EC8">
        <w:rPr>
          <w:i/>
          <w:iCs/>
          <w:color w:val="auto"/>
        </w:rPr>
        <w:t>Detailed</w:t>
      </w:r>
      <w:proofErr w:type="spellEnd"/>
      <w:r w:rsidRPr="00242EC8">
        <w:rPr>
          <w:i/>
          <w:iCs/>
          <w:color w:val="auto"/>
        </w:rPr>
        <w:t xml:space="preserve"> </w:t>
      </w:r>
      <w:proofErr w:type="spellStart"/>
      <w:r w:rsidRPr="00242EC8">
        <w:rPr>
          <w:i/>
          <w:iCs/>
          <w:color w:val="auto"/>
        </w:rPr>
        <w:t>Implementation</w:t>
      </w:r>
      <w:proofErr w:type="spellEnd"/>
      <w:r w:rsidRPr="00242EC8">
        <w:rPr>
          <w:i/>
          <w:iCs/>
          <w:color w:val="auto"/>
        </w:rPr>
        <w:t xml:space="preserve"> Plan” </w:t>
      </w:r>
      <w:r w:rsidR="00B93AB8" w:rsidRPr="00846B8F">
        <w:rPr>
          <w:iCs/>
          <w:color w:val="auto"/>
        </w:rPr>
        <w:t>che</w:t>
      </w:r>
      <w:r w:rsidRPr="00846B8F">
        <w:rPr>
          <w:color w:val="auto"/>
        </w:rPr>
        <w:t xml:space="preserve"> </w:t>
      </w:r>
      <w:r w:rsidRPr="00242EC8">
        <w:rPr>
          <w:color w:val="auto"/>
        </w:rPr>
        <w:t>rappresenta il documento strategico e di orientamento per lo sviluppo di tale priorità. In particolare, a seguito di diverse revisioni dello stesso, ed in particolare nell’ultima che è stata sottoposta a</w:t>
      </w:r>
      <w:r w:rsidR="00DC4B3E">
        <w:rPr>
          <w:color w:val="auto"/>
        </w:rPr>
        <w:t>d un processo di consultazione rivolto a</w:t>
      </w:r>
      <w:r w:rsidRPr="00242EC8">
        <w:rPr>
          <w:color w:val="auto"/>
        </w:rPr>
        <w:t xml:space="preserve">gli Stati Membri </w:t>
      </w:r>
      <w:r w:rsidR="00DC4B3E">
        <w:rPr>
          <w:color w:val="auto"/>
        </w:rPr>
        <w:t>concluso ad aprile 2020</w:t>
      </w:r>
      <w:r w:rsidRPr="00242EC8">
        <w:rPr>
          <w:color w:val="auto"/>
        </w:rPr>
        <w:t>, si fa riferimento ai 3 pila</w:t>
      </w:r>
      <w:r w:rsidR="00337086">
        <w:rPr>
          <w:color w:val="auto"/>
        </w:rPr>
        <w:t>s</w:t>
      </w:r>
      <w:r w:rsidRPr="00242EC8">
        <w:rPr>
          <w:color w:val="auto"/>
        </w:rPr>
        <w:t xml:space="preserve">tri della strategia per le </w:t>
      </w:r>
      <w:r w:rsidR="00DC4B3E">
        <w:rPr>
          <w:color w:val="auto"/>
        </w:rPr>
        <w:t>Autostrade del Mare</w:t>
      </w:r>
      <w:r w:rsidRPr="00242EC8">
        <w:rPr>
          <w:color w:val="auto"/>
        </w:rPr>
        <w:t xml:space="preserve"> per lo sviluppo di uno spazio marittimo comunitario (</w:t>
      </w:r>
      <w:r w:rsidRPr="00DC4B3E">
        <w:rPr>
          <w:i/>
          <w:iCs/>
          <w:color w:val="auto"/>
        </w:rPr>
        <w:t>European Maritime Space</w:t>
      </w:r>
      <w:r w:rsidRPr="00242EC8">
        <w:rPr>
          <w:color w:val="auto"/>
        </w:rPr>
        <w:t>), che sia:</w:t>
      </w:r>
    </w:p>
    <w:p w14:paraId="565F2EDA" w14:textId="77777777" w:rsidR="00343FB0" w:rsidRPr="00242EC8" w:rsidRDefault="00337086" w:rsidP="00F63DA4">
      <w:pPr>
        <w:pStyle w:val="Paragrafoelenco"/>
        <w:numPr>
          <w:ilvl w:val="0"/>
          <w:numId w:val="53"/>
        </w:numPr>
        <w:tabs>
          <w:tab w:val="left" w:pos="993"/>
        </w:tabs>
        <w:ind w:left="284" w:hanging="284"/>
        <w:rPr>
          <w:color w:val="auto"/>
        </w:rPr>
      </w:pPr>
      <w:proofErr w:type="spellStart"/>
      <w:r>
        <w:rPr>
          <w:i/>
          <w:color w:val="auto"/>
        </w:rPr>
        <w:t>s</w:t>
      </w:r>
      <w:r w:rsidR="00343FB0" w:rsidRPr="00242EC8">
        <w:rPr>
          <w:i/>
          <w:color w:val="auto"/>
        </w:rPr>
        <w:t>ustainable</w:t>
      </w:r>
      <w:proofErr w:type="spellEnd"/>
      <w:r w:rsidR="00343FB0" w:rsidRPr="00242EC8">
        <w:rPr>
          <w:i/>
          <w:color w:val="auto"/>
        </w:rPr>
        <w:t>,</w:t>
      </w:r>
      <w:r w:rsidR="00343FB0" w:rsidRPr="00242EC8">
        <w:rPr>
          <w:color w:val="auto"/>
        </w:rPr>
        <w:t xml:space="preserve"> </w:t>
      </w:r>
      <w:r>
        <w:rPr>
          <w:color w:val="auto"/>
        </w:rPr>
        <w:t>al fine di contribuire</w:t>
      </w:r>
      <w:r w:rsidR="00343FB0" w:rsidRPr="00242EC8">
        <w:rPr>
          <w:color w:val="auto"/>
        </w:rPr>
        <w:t xml:space="preserve"> agli obiettivi della lotta ai cambiamenti climatici e della decarbonizzazione</w:t>
      </w:r>
      <w:r>
        <w:rPr>
          <w:color w:val="auto"/>
        </w:rPr>
        <w:t>;</w:t>
      </w:r>
    </w:p>
    <w:p w14:paraId="1C95398A" w14:textId="77777777" w:rsidR="00343FB0" w:rsidRPr="00242EC8" w:rsidRDefault="00337086" w:rsidP="00F63DA4">
      <w:pPr>
        <w:pStyle w:val="Paragrafoelenco"/>
        <w:numPr>
          <w:ilvl w:val="0"/>
          <w:numId w:val="53"/>
        </w:numPr>
        <w:tabs>
          <w:tab w:val="left" w:pos="993"/>
        </w:tabs>
        <w:ind w:left="284" w:hanging="284"/>
        <w:rPr>
          <w:color w:val="auto"/>
        </w:rPr>
      </w:pPr>
      <w:proofErr w:type="spellStart"/>
      <w:r>
        <w:rPr>
          <w:i/>
          <w:color w:val="auto"/>
        </w:rPr>
        <w:t>s</w:t>
      </w:r>
      <w:r w:rsidR="00343FB0" w:rsidRPr="00242EC8">
        <w:rPr>
          <w:i/>
          <w:color w:val="auto"/>
        </w:rPr>
        <w:t>eamless</w:t>
      </w:r>
      <w:proofErr w:type="spellEnd"/>
      <w:r w:rsidR="00343FB0" w:rsidRPr="00242EC8">
        <w:rPr>
          <w:i/>
          <w:color w:val="auto"/>
        </w:rPr>
        <w:t>,</w:t>
      </w:r>
      <w:r w:rsidR="00343FB0" w:rsidRPr="00242EC8">
        <w:rPr>
          <w:color w:val="auto"/>
        </w:rPr>
        <w:t xml:space="preserve"> o</w:t>
      </w:r>
      <w:r>
        <w:rPr>
          <w:color w:val="auto"/>
        </w:rPr>
        <w:t>vvero</w:t>
      </w:r>
      <w:r w:rsidR="00343FB0" w:rsidRPr="00242EC8">
        <w:rPr>
          <w:color w:val="auto"/>
        </w:rPr>
        <w:t xml:space="preserve"> </w:t>
      </w:r>
      <w:r>
        <w:rPr>
          <w:color w:val="auto"/>
        </w:rPr>
        <w:t>privo di soluzione di continuità</w:t>
      </w:r>
      <w:r w:rsidRPr="00242EC8">
        <w:rPr>
          <w:color w:val="auto"/>
        </w:rPr>
        <w:t xml:space="preserve"> </w:t>
      </w:r>
      <w:r w:rsidR="00343FB0" w:rsidRPr="00242EC8">
        <w:rPr>
          <w:color w:val="auto"/>
        </w:rPr>
        <w:t>a livello di catena logistica, assicurando i collegamenti tra le diverse modalità di trasporto</w:t>
      </w:r>
      <w:r>
        <w:rPr>
          <w:color w:val="auto"/>
        </w:rPr>
        <w:t>;</w:t>
      </w:r>
    </w:p>
    <w:p w14:paraId="23CD1C88" w14:textId="77777777" w:rsidR="00343FB0" w:rsidRPr="00242EC8" w:rsidRDefault="00337086" w:rsidP="00F63DA4">
      <w:pPr>
        <w:pStyle w:val="Paragrafoelenco"/>
        <w:numPr>
          <w:ilvl w:val="0"/>
          <w:numId w:val="53"/>
        </w:numPr>
        <w:tabs>
          <w:tab w:val="left" w:pos="993"/>
        </w:tabs>
        <w:ind w:left="284" w:hanging="284"/>
        <w:rPr>
          <w:color w:val="auto"/>
        </w:rPr>
      </w:pPr>
      <w:r>
        <w:rPr>
          <w:i/>
          <w:color w:val="auto"/>
        </w:rPr>
        <w:lastRenderedPageBreak/>
        <w:t>s</w:t>
      </w:r>
      <w:r w:rsidR="00343FB0" w:rsidRPr="00242EC8">
        <w:rPr>
          <w:i/>
          <w:color w:val="auto"/>
        </w:rPr>
        <w:t>mart,</w:t>
      </w:r>
      <w:r w:rsidR="00343FB0" w:rsidRPr="00242EC8">
        <w:rPr>
          <w:color w:val="auto"/>
        </w:rPr>
        <w:t xml:space="preserve"> con particolare riferimento all’innovazione tecnologica ed agli strumenti dell’ICT</w:t>
      </w:r>
      <w:r w:rsidR="00846B8F">
        <w:rPr>
          <w:color w:val="auto"/>
        </w:rPr>
        <w:t xml:space="preserve"> (</w:t>
      </w:r>
      <w:r w:rsidR="00846B8F" w:rsidRPr="00846B8F">
        <w:rPr>
          <w:i/>
          <w:color w:val="auto"/>
        </w:rPr>
        <w:t xml:space="preserve">Information &amp; </w:t>
      </w:r>
      <w:proofErr w:type="spellStart"/>
      <w:r w:rsidR="00846B8F" w:rsidRPr="00846B8F">
        <w:rPr>
          <w:i/>
          <w:color w:val="auto"/>
        </w:rPr>
        <w:t>Communication</w:t>
      </w:r>
      <w:proofErr w:type="spellEnd"/>
      <w:r w:rsidR="00846B8F" w:rsidRPr="00846B8F">
        <w:rPr>
          <w:i/>
          <w:color w:val="auto"/>
        </w:rPr>
        <w:t xml:space="preserve"> Technology</w:t>
      </w:r>
      <w:r w:rsidR="00846B8F">
        <w:rPr>
          <w:color w:val="auto"/>
        </w:rPr>
        <w:t>)</w:t>
      </w:r>
      <w:r w:rsidR="00343FB0" w:rsidRPr="00242EC8">
        <w:rPr>
          <w:color w:val="auto"/>
        </w:rPr>
        <w:t>.</w:t>
      </w:r>
    </w:p>
    <w:p w14:paraId="0ECC4621" w14:textId="77777777" w:rsidR="00343FB0" w:rsidRPr="00F63DA4" w:rsidRDefault="00DC4B3E" w:rsidP="00F63DA4">
      <w:pPr>
        <w:ind w:firstLine="709"/>
        <w:jc w:val="both"/>
        <w:rPr>
          <w:color w:val="auto"/>
        </w:rPr>
      </w:pPr>
      <w:r w:rsidRPr="00F63DA4">
        <w:rPr>
          <w:color w:val="auto"/>
        </w:rPr>
        <w:t>Durante il processo</w:t>
      </w:r>
      <w:r w:rsidR="00343FB0" w:rsidRPr="00F63DA4">
        <w:rPr>
          <w:color w:val="auto"/>
        </w:rPr>
        <w:t xml:space="preserve"> di consultazione </w:t>
      </w:r>
      <w:r w:rsidRPr="00F63DA4">
        <w:rPr>
          <w:color w:val="auto"/>
        </w:rPr>
        <w:t xml:space="preserve">che ha </w:t>
      </w:r>
      <w:r w:rsidR="00337086" w:rsidRPr="00F63DA4">
        <w:rPr>
          <w:color w:val="auto"/>
        </w:rPr>
        <w:t xml:space="preserve">coinvolto </w:t>
      </w:r>
      <w:r w:rsidRPr="00F63DA4">
        <w:rPr>
          <w:color w:val="auto"/>
        </w:rPr>
        <w:t>sia gli Stati Membri che gl</w:t>
      </w:r>
      <w:r w:rsidR="00343FB0" w:rsidRPr="00F63DA4">
        <w:rPr>
          <w:color w:val="auto"/>
        </w:rPr>
        <w:t xml:space="preserve">i </w:t>
      </w:r>
      <w:r w:rsidR="00343FB0" w:rsidRPr="00450E48">
        <w:rPr>
          <w:i/>
          <w:color w:val="auto"/>
        </w:rPr>
        <w:t>stakeholder</w:t>
      </w:r>
      <w:r w:rsidR="00343FB0" w:rsidRPr="00F63DA4">
        <w:rPr>
          <w:color w:val="auto"/>
        </w:rPr>
        <w:t xml:space="preserve"> </w:t>
      </w:r>
      <w:r w:rsidR="00337086" w:rsidRPr="00F63DA4">
        <w:rPr>
          <w:color w:val="auto"/>
        </w:rPr>
        <w:t xml:space="preserve">del settore, </w:t>
      </w:r>
      <w:r w:rsidRPr="00F63DA4">
        <w:rPr>
          <w:color w:val="auto"/>
        </w:rPr>
        <w:t xml:space="preserve">avviato </w:t>
      </w:r>
      <w:r w:rsidR="00343FB0" w:rsidRPr="00F63DA4">
        <w:rPr>
          <w:color w:val="auto"/>
        </w:rPr>
        <w:t>dal Coordinatore</w:t>
      </w:r>
      <w:r w:rsidRPr="00F63DA4">
        <w:rPr>
          <w:color w:val="auto"/>
        </w:rPr>
        <w:t xml:space="preserve"> Europeo</w:t>
      </w:r>
      <w:r w:rsidR="00343FB0" w:rsidRPr="00F63DA4">
        <w:rPr>
          <w:color w:val="auto"/>
        </w:rPr>
        <w:t xml:space="preserve">, </w:t>
      </w:r>
      <w:r w:rsidRPr="00F63DA4">
        <w:rPr>
          <w:color w:val="auto"/>
        </w:rPr>
        <w:t xml:space="preserve">sono </w:t>
      </w:r>
      <w:r w:rsidR="00337086" w:rsidRPr="00F63DA4">
        <w:rPr>
          <w:color w:val="auto"/>
        </w:rPr>
        <w:t>emerse alcune proposte di rinnovamento del concetto di Autostrade del Mare: si è evidenziata la necessità di u</w:t>
      </w:r>
      <w:r w:rsidR="00343FB0" w:rsidRPr="00F63DA4">
        <w:rPr>
          <w:color w:val="auto"/>
        </w:rPr>
        <w:t xml:space="preserve">na </w:t>
      </w:r>
      <w:r w:rsidR="00337086" w:rsidRPr="00F63DA4">
        <w:rPr>
          <w:color w:val="auto"/>
        </w:rPr>
        <w:t>maggiore</w:t>
      </w:r>
      <w:r w:rsidR="00343FB0" w:rsidRPr="00F63DA4">
        <w:rPr>
          <w:color w:val="auto"/>
        </w:rPr>
        <w:t xml:space="preserve"> integrazion</w:t>
      </w:r>
      <w:r w:rsidR="00337086" w:rsidRPr="00F63DA4">
        <w:rPr>
          <w:color w:val="auto"/>
        </w:rPr>
        <w:t>e nelle reti</w:t>
      </w:r>
      <w:r w:rsidR="00D65C93">
        <w:rPr>
          <w:color w:val="auto"/>
        </w:rPr>
        <w:t xml:space="preserve"> </w:t>
      </w:r>
      <w:r w:rsidR="00343FB0" w:rsidRPr="00F63DA4">
        <w:rPr>
          <w:color w:val="auto"/>
        </w:rPr>
        <w:t xml:space="preserve">TEN-T </w:t>
      </w:r>
      <w:r w:rsidR="00337086" w:rsidRPr="00F63DA4">
        <w:rPr>
          <w:color w:val="auto"/>
        </w:rPr>
        <w:t xml:space="preserve">con un corrispondente incremento delle risorse finanziarie per il loro sviluppo; è emersa l’esigenza di ripensare alla classificazione dei porti </w:t>
      </w:r>
      <w:r w:rsidR="0037642B" w:rsidRPr="00F63DA4">
        <w:rPr>
          <w:color w:val="auto"/>
        </w:rPr>
        <w:t>con specifica vocazione</w:t>
      </w:r>
      <w:r w:rsidR="000C2297">
        <w:rPr>
          <w:color w:val="auto"/>
        </w:rPr>
        <w:t xml:space="preserve"> </w:t>
      </w:r>
      <w:r w:rsidR="00EB5108">
        <w:rPr>
          <w:color w:val="auto"/>
        </w:rPr>
        <w:t>alle</w:t>
      </w:r>
      <w:r w:rsidR="0037642B" w:rsidRPr="00F63DA4">
        <w:rPr>
          <w:color w:val="auto"/>
        </w:rPr>
        <w:t xml:space="preserve"> </w:t>
      </w:r>
      <w:proofErr w:type="spellStart"/>
      <w:r w:rsidR="00337086" w:rsidRPr="00F63DA4">
        <w:rPr>
          <w:color w:val="auto"/>
        </w:rPr>
        <w:t>A</w:t>
      </w:r>
      <w:r w:rsidR="00B93AB8" w:rsidRPr="00F63DA4">
        <w:rPr>
          <w:color w:val="auto"/>
        </w:rPr>
        <w:t>d</w:t>
      </w:r>
      <w:r w:rsidR="00337086" w:rsidRPr="00F63DA4">
        <w:rPr>
          <w:color w:val="auto"/>
        </w:rPr>
        <w:t>M</w:t>
      </w:r>
      <w:proofErr w:type="spellEnd"/>
      <w:r w:rsidR="00337086" w:rsidRPr="00F63DA4">
        <w:rPr>
          <w:color w:val="auto"/>
        </w:rPr>
        <w:t xml:space="preserve"> ed infine sono </w:t>
      </w:r>
      <w:r w:rsidR="00B3754C" w:rsidRPr="00F63DA4">
        <w:rPr>
          <w:color w:val="auto"/>
        </w:rPr>
        <w:t xml:space="preserve">state </w:t>
      </w:r>
      <w:r w:rsidR="00337086" w:rsidRPr="00F63DA4">
        <w:rPr>
          <w:color w:val="auto"/>
        </w:rPr>
        <w:t xml:space="preserve">delineate potenziali misure di incentivazione verso il settore delle </w:t>
      </w:r>
      <w:proofErr w:type="spellStart"/>
      <w:r w:rsidR="00337086" w:rsidRPr="00F63DA4">
        <w:rPr>
          <w:color w:val="auto"/>
        </w:rPr>
        <w:t>A</w:t>
      </w:r>
      <w:r w:rsidR="00B93AB8">
        <w:rPr>
          <w:color w:val="auto"/>
        </w:rPr>
        <w:t>d</w:t>
      </w:r>
      <w:r w:rsidR="00337086" w:rsidRPr="00F63DA4">
        <w:rPr>
          <w:color w:val="auto"/>
        </w:rPr>
        <w:t>M</w:t>
      </w:r>
      <w:proofErr w:type="spellEnd"/>
      <w:r w:rsidR="00337086" w:rsidRPr="00F63DA4">
        <w:rPr>
          <w:color w:val="auto"/>
        </w:rPr>
        <w:t xml:space="preserve"> sulla base di un approccio unico europeo connesse alle prestazioni ambientali </w:t>
      </w:r>
      <w:r w:rsidR="00846B8F">
        <w:rPr>
          <w:color w:val="auto"/>
        </w:rPr>
        <w:t>da un la</w:t>
      </w:r>
      <w:r w:rsidR="00B3754C" w:rsidRPr="00F63DA4">
        <w:rPr>
          <w:color w:val="auto"/>
        </w:rPr>
        <w:t>to e all’effettivo utilizzo operativo da parte delle imprese di autotrasporto, dall’altro.</w:t>
      </w:r>
    </w:p>
    <w:p w14:paraId="4DAB26B8" w14:textId="77777777" w:rsidR="00077BD6" w:rsidRPr="00873C90" w:rsidRDefault="00077BD6">
      <w:pPr>
        <w:pStyle w:val="Paragrafoelenco"/>
        <w:ind w:left="0"/>
        <w:rPr>
          <w:highlight w:val="yellow"/>
        </w:rPr>
      </w:pPr>
    </w:p>
    <w:tbl>
      <w:tblPr>
        <w:tblStyle w:val="TableNormal1"/>
        <w:tblW w:w="103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25"/>
      </w:tblGrid>
      <w:tr w:rsidR="00B57763" w:rsidRPr="00C279A7" w14:paraId="57AC49AE" w14:textId="77777777" w:rsidTr="008F4645">
        <w:trPr>
          <w:trHeight w:val="2172"/>
        </w:trPr>
        <w:tc>
          <w:tcPr>
            <w:tcW w:w="10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94CAB" w14:textId="77777777" w:rsidR="00F17A16" w:rsidRPr="00D65C93" w:rsidRDefault="006E0557" w:rsidP="00D65C93">
            <w:pPr>
              <w:spacing w:after="120"/>
              <w:jc w:val="both"/>
              <w:rPr>
                <w:b/>
                <w:bCs/>
                <w:sz w:val="22"/>
                <w:szCs w:val="22"/>
              </w:rPr>
            </w:pPr>
            <w:r w:rsidRPr="00D65C93">
              <w:rPr>
                <w:b/>
                <w:bCs/>
                <w:sz w:val="22"/>
                <w:szCs w:val="22"/>
              </w:rPr>
              <w:t>Box di approfondimento n.</w:t>
            </w:r>
            <w:r w:rsidR="005D33C1" w:rsidRPr="00D65C93">
              <w:rPr>
                <w:b/>
                <w:bCs/>
                <w:sz w:val="22"/>
                <w:szCs w:val="22"/>
              </w:rPr>
              <w:t xml:space="preserve"> </w:t>
            </w:r>
            <w:proofErr w:type="gramStart"/>
            <w:r w:rsidRPr="00D65C93">
              <w:rPr>
                <w:b/>
                <w:bCs/>
                <w:sz w:val="22"/>
                <w:szCs w:val="22"/>
              </w:rPr>
              <w:t>3</w:t>
            </w:r>
            <w:r w:rsidR="00D65C93" w:rsidRPr="00D65C93">
              <w:rPr>
                <w:b/>
                <w:bCs/>
                <w:sz w:val="22"/>
                <w:szCs w:val="22"/>
              </w:rPr>
              <w:t xml:space="preserve"> </w:t>
            </w:r>
            <w:r w:rsidR="00116391">
              <w:rPr>
                <w:b/>
                <w:bCs/>
                <w:sz w:val="22"/>
                <w:szCs w:val="22"/>
              </w:rPr>
              <w:t xml:space="preserve"> -</w:t>
            </w:r>
            <w:proofErr w:type="gramEnd"/>
            <w:r w:rsidR="00116391">
              <w:rPr>
                <w:b/>
                <w:bCs/>
                <w:sz w:val="22"/>
                <w:szCs w:val="22"/>
              </w:rPr>
              <w:t xml:space="preserve"> </w:t>
            </w:r>
            <w:r w:rsidR="00D65C93" w:rsidRPr="00D65C93">
              <w:rPr>
                <w:b/>
                <w:bCs/>
                <w:sz w:val="22"/>
                <w:szCs w:val="22"/>
              </w:rPr>
              <w:t>“</w:t>
            </w:r>
            <w:r w:rsidR="004B51E8" w:rsidRPr="00D65C93">
              <w:rPr>
                <w:b/>
                <w:bCs/>
                <w:sz w:val="22"/>
                <w:szCs w:val="22"/>
              </w:rPr>
              <w:t xml:space="preserve">Lo sviluppo dei sistemi ITS </w:t>
            </w:r>
            <w:r w:rsidR="004B51E8" w:rsidRPr="00450E48">
              <w:rPr>
                <w:b/>
                <w:bCs/>
                <w:i/>
                <w:sz w:val="22"/>
                <w:szCs w:val="22"/>
              </w:rPr>
              <w:t xml:space="preserve">- </w:t>
            </w:r>
            <w:proofErr w:type="spellStart"/>
            <w:r w:rsidR="004B51E8" w:rsidRPr="00450E48">
              <w:rPr>
                <w:b/>
                <w:bCs/>
                <w:i/>
                <w:sz w:val="22"/>
                <w:szCs w:val="22"/>
              </w:rPr>
              <w:t>Intelligent</w:t>
            </w:r>
            <w:proofErr w:type="spellEnd"/>
            <w:r w:rsidR="004B51E8" w:rsidRPr="00450E48">
              <w:rPr>
                <w:b/>
                <w:bCs/>
                <w:i/>
                <w:sz w:val="22"/>
                <w:szCs w:val="22"/>
              </w:rPr>
              <w:t xml:space="preserve"> </w:t>
            </w:r>
            <w:proofErr w:type="spellStart"/>
            <w:r w:rsidR="004B51E8" w:rsidRPr="00450E48">
              <w:rPr>
                <w:b/>
                <w:bCs/>
                <w:i/>
                <w:sz w:val="22"/>
                <w:szCs w:val="22"/>
              </w:rPr>
              <w:t>Trasport</w:t>
            </w:r>
            <w:proofErr w:type="spellEnd"/>
            <w:r w:rsidR="004B51E8" w:rsidRPr="00450E48">
              <w:rPr>
                <w:b/>
                <w:bCs/>
                <w:i/>
                <w:sz w:val="22"/>
                <w:szCs w:val="22"/>
              </w:rPr>
              <w:t xml:space="preserve"> System</w:t>
            </w:r>
            <w:r w:rsidR="00D65C93" w:rsidRPr="00D65C93">
              <w:rPr>
                <w:b/>
                <w:bCs/>
                <w:sz w:val="22"/>
                <w:szCs w:val="22"/>
              </w:rPr>
              <w:t>”</w:t>
            </w:r>
            <w:r w:rsidR="004B51E8" w:rsidRPr="00D65C93">
              <w:rPr>
                <w:b/>
                <w:bCs/>
                <w:sz w:val="22"/>
                <w:szCs w:val="22"/>
              </w:rPr>
              <w:t xml:space="preserve"> </w:t>
            </w:r>
          </w:p>
          <w:p w14:paraId="2BFEFE36" w14:textId="77777777" w:rsidR="00706961" w:rsidRPr="00A65C56" w:rsidRDefault="00706961" w:rsidP="00706961">
            <w:pPr>
              <w:jc w:val="both"/>
              <w:rPr>
                <w:rFonts w:cs="Times New Roman"/>
                <w:iCs/>
                <w:sz w:val="22"/>
                <w:szCs w:val="22"/>
              </w:rPr>
            </w:pPr>
            <w:r w:rsidRPr="00A65C56">
              <w:rPr>
                <w:rFonts w:cs="Times New Roman"/>
                <w:iCs/>
                <w:sz w:val="22"/>
                <w:szCs w:val="22"/>
              </w:rPr>
              <w:t xml:space="preserve">L’Italia è uno dei Paesi europei a più alta densità di traffico, in cui i flussi veicolari si distribuiscono lungo tutta la rete nazionale dei trasporti. I Sistemi di Trasporto Intelligenti (ITS) svolgono un ruolo determinante per promuovere la sicurezza della circolazione, per ridurre le esternalità in termini di congestione e </w:t>
            </w:r>
            <w:r w:rsidR="00846B8F">
              <w:rPr>
                <w:rFonts w:cs="Times New Roman"/>
                <w:iCs/>
                <w:sz w:val="22"/>
                <w:szCs w:val="22"/>
              </w:rPr>
              <w:t>l’</w:t>
            </w:r>
            <w:r w:rsidRPr="00A65C56">
              <w:rPr>
                <w:rFonts w:cs="Times New Roman"/>
                <w:iCs/>
                <w:sz w:val="22"/>
                <w:szCs w:val="22"/>
              </w:rPr>
              <w:t>inquinamento ambientale. Grazie alle moderne tecnologie dell’informatica e delle comunicazioni, i Sistemi ITS non solo agevolano la circolazione tramite un uso più efficiente e razionale delle infrastrutture, ma permettono sempre più di creare un ponte verso i porti, le piattaforme logistiche ed in prospettiva verso le “</w:t>
            </w:r>
            <w:r w:rsidRPr="00706961">
              <w:rPr>
                <w:rFonts w:cs="Times New Roman"/>
                <w:i/>
                <w:iCs/>
                <w:sz w:val="22"/>
                <w:szCs w:val="22"/>
              </w:rPr>
              <w:t>smart c</w:t>
            </w:r>
            <w:r w:rsidRPr="00450E48">
              <w:rPr>
                <w:rFonts w:cs="Times New Roman"/>
                <w:i/>
                <w:iCs/>
                <w:sz w:val="22"/>
                <w:szCs w:val="22"/>
              </w:rPr>
              <w:t>i</w:t>
            </w:r>
            <w:r>
              <w:rPr>
                <w:rFonts w:cs="Times New Roman"/>
                <w:i/>
                <w:iCs/>
                <w:sz w:val="22"/>
                <w:szCs w:val="22"/>
              </w:rPr>
              <w:t>ty</w:t>
            </w:r>
            <w:r w:rsidRPr="00A65C56">
              <w:rPr>
                <w:rFonts w:cs="Times New Roman"/>
                <w:iCs/>
                <w:sz w:val="22"/>
                <w:szCs w:val="22"/>
              </w:rPr>
              <w:t>”.</w:t>
            </w:r>
          </w:p>
          <w:p w14:paraId="706B1908" w14:textId="77777777" w:rsidR="00D65C93" w:rsidRPr="00E722E6" w:rsidRDefault="00706961" w:rsidP="008F4645">
            <w:pPr>
              <w:jc w:val="both"/>
              <w:rPr>
                <w:iCs/>
                <w:sz w:val="22"/>
                <w:szCs w:val="22"/>
              </w:rPr>
            </w:pPr>
            <w:r w:rsidRPr="00A65C56">
              <w:rPr>
                <w:rFonts w:cs="Times New Roman"/>
                <w:iCs/>
                <w:sz w:val="22"/>
                <w:szCs w:val="22"/>
              </w:rPr>
              <w:t>L’Italia è da sempre impegnata nello sviluppo di progetti nel campo dei Sistemi ITS in ambito stradale: su un totale di 14 progetti co-finanziati sin dalle precedenti Programmazioni è al momento coinvolta in 9 progetti sul programma CEF corrente che assorbono un contributo europeo diretto a soggetti sia pubblici che privati per circa 41milioni di euro. L’Italia partecipa attivamente a tre filoni di progetti co-finanziati dalla Commissione europea: “</w:t>
            </w:r>
            <w:proofErr w:type="spellStart"/>
            <w:r w:rsidRPr="00A65C56">
              <w:rPr>
                <w:rFonts w:cs="Times New Roman"/>
                <w:iCs/>
                <w:sz w:val="22"/>
                <w:szCs w:val="22"/>
              </w:rPr>
              <w:t>MedTIS</w:t>
            </w:r>
            <w:proofErr w:type="spellEnd"/>
            <w:r w:rsidRPr="00A65C56">
              <w:rPr>
                <w:rFonts w:cs="Times New Roman"/>
                <w:iCs/>
                <w:sz w:val="22"/>
                <w:szCs w:val="22"/>
              </w:rPr>
              <w:t>”, “</w:t>
            </w:r>
            <w:proofErr w:type="spellStart"/>
            <w:r w:rsidRPr="00A65C56">
              <w:rPr>
                <w:rFonts w:cs="Times New Roman"/>
                <w:iCs/>
                <w:sz w:val="22"/>
                <w:szCs w:val="22"/>
              </w:rPr>
              <w:t>Ursa</w:t>
            </w:r>
            <w:proofErr w:type="spellEnd"/>
            <w:r w:rsidRPr="00A65C56">
              <w:rPr>
                <w:rFonts w:cs="Times New Roman"/>
                <w:iCs/>
                <w:sz w:val="22"/>
                <w:szCs w:val="22"/>
              </w:rPr>
              <w:t xml:space="preserve"> Major” e “CROCODILE” per lo sviluppo e implementazione dei Sistemi Intelligenti di Trasporto in ambito stradale, largamente coincidenti con alcuni dei </w:t>
            </w:r>
            <w:proofErr w:type="gramStart"/>
            <w:r w:rsidRPr="00A65C56">
              <w:rPr>
                <w:rFonts w:cs="Times New Roman"/>
                <w:iCs/>
                <w:sz w:val="22"/>
                <w:szCs w:val="22"/>
              </w:rPr>
              <w:t>9</w:t>
            </w:r>
            <w:proofErr w:type="gramEnd"/>
            <w:r w:rsidRPr="00A65C56">
              <w:rPr>
                <w:rFonts w:cs="Times New Roman"/>
                <w:iCs/>
                <w:sz w:val="22"/>
                <w:szCs w:val="22"/>
              </w:rPr>
              <w:t xml:space="preserve"> Corridoi TEN-T. Inoltre, sin dal 2013, </w:t>
            </w:r>
            <w:r w:rsidR="00846B8F">
              <w:rPr>
                <w:rFonts w:cs="Times New Roman"/>
                <w:iCs/>
                <w:sz w:val="22"/>
                <w:szCs w:val="22"/>
              </w:rPr>
              <w:t xml:space="preserve">l’Italia </w:t>
            </w:r>
            <w:r w:rsidRPr="00A65C56">
              <w:rPr>
                <w:rFonts w:cs="Times New Roman"/>
                <w:iCs/>
                <w:sz w:val="22"/>
                <w:szCs w:val="22"/>
              </w:rPr>
              <w:t>è Coordinatore internazionale della Piattaforma Europea dell’ITS “European ITS Platform”, anch’essa co-finanziata dalla Commissione Europea, quale tavolo di confronto tra 15 Stati Membri e numerosi portatori di interesse quali i gestori della grande viabilità, per sviluppare i futuri orientamenti e strategie per lo sviluppo dei sistemi ITS, con l'obiettivo di fornire agli utenti europei servizi armonizzati e continuativi lungo i Corridoi stradali europei.</w:t>
            </w:r>
            <w:r w:rsidR="00846B8F">
              <w:rPr>
                <w:rFonts w:cs="Times New Roman"/>
                <w:iCs/>
                <w:sz w:val="22"/>
                <w:szCs w:val="22"/>
              </w:rPr>
              <w:t xml:space="preserve"> </w:t>
            </w:r>
            <w:r w:rsidRPr="00A65C56">
              <w:rPr>
                <w:rFonts w:cs="Times New Roman"/>
                <w:iCs/>
                <w:sz w:val="22"/>
                <w:szCs w:val="22"/>
              </w:rPr>
              <w:t>Con l’avvento della sperimentazione della guida assistita ed automatica e la crescente disponibilità di dati sulla mobilità, si sono sviluppate tecnologie innovative</w:t>
            </w:r>
            <w:r>
              <w:rPr>
                <w:rFonts w:cs="Times New Roman"/>
                <w:iCs/>
                <w:sz w:val="22"/>
                <w:szCs w:val="22"/>
              </w:rPr>
              <w:t>, denominate</w:t>
            </w:r>
            <w:r w:rsidRPr="00A65C56">
              <w:rPr>
                <w:rFonts w:cs="Times New Roman"/>
                <w:iCs/>
                <w:sz w:val="22"/>
                <w:szCs w:val="22"/>
              </w:rPr>
              <w:t xml:space="preserve"> </w:t>
            </w:r>
            <w:r w:rsidRPr="001253FC">
              <w:rPr>
                <w:rFonts w:cs="Times New Roman"/>
                <w:iCs/>
                <w:sz w:val="22"/>
                <w:szCs w:val="22"/>
              </w:rPr>
              <w:t>Sistemi di Trasporto I</w:t>
            </w:r>
            <w:r>
              <w:rPr>
                <w:rFonts w:cs="Times New Roman"/>
                <w:iCs/>
                <w:sz w:val="22"/>
                <w:szCs w:val="22"/>
              </w:rPr>
              <w:t>ntelligenti Cooperativi (C-ITS),</w:t>
            </w:r>
            <w:r w:rsidRPr="001253FC">
              <w:rPr>
                <w:rFonts w:cs="Times New Roman"/>
                <w:iCs/>
                <w:sz w:val="22"/>
                <w:szCs w:val="22"/>
              </w:rPr>
              <w:t xml:space="preserve"> </w:t>
            </w:r>
            <w:r w:rsidRPr="00A65C56">
              <w:rPr>
                <w:rFonts w:cs="Times New Roman"/>
                <w:iCs/>
                <w:sz w:val="22"/>
                <w:szCs w:val="22"/>
              </w:rPr>
              <w:t>che permettono uno scambio di dati efficace, attraverso tecnologie wireless, tra elementi e attori del sistema di trasporto, ovvero tra veicoli (V2V) e tra veicoli e infrastruttura (V2I</w:t>
            </w:r>
            <w:r w:rsidR="00846B8F">
              <w:rPr>
                <w:rFonts w:cs="Times New Roman"/>
                <w:iCs/>
                <w:sz w:val="22"/>
                <w:szCs w:val="22"/>
              </w:rPr>
              <w:t>). I</w:t>
            </w:r>
            <w:r>
              <w:rPr>
                <w:rFonts w:cs="Times New Roman"/>
                <w:iCs/>
                <w:sz w:val="22"/>
                <w:szCs w:val="22"/>
              </w:rPr>
              <w:t xml:space="preserve"> Sistemi C-ITS </w:t>
            </w:r>
            <w:r w:rsidRPr="00A65C56">
              <w:rPr>
                <w:rFonts w:cs="Times New Roman"/>
                <w:iCs/>
                <w:sz w:val="22"/>
                <w:szCs w:val="22"/>
              </w:rPr>
              <w:t xml:space="preserve">permettono di migliorare in modo significativo la sicurezza stradale, l’efficienza del traffico e il comfort di guida aiutando il conducente a prendere le decisioni giuste e adattarsi alla situazione del traffico. Anche su queste tecnologie innovative, l’Italia è presente attraverso due specifici progetti </w:t>
            </w:r>
            <w:r w:rsidRPr="008878D6">
              <w:rPr>
                <w:rFonts w:cs="Times New Roman"/>
                <w:iCs/>
                <w:sz w:val="22"/>
                <w:szCs w:val="22"/>
              </w:rPr>
              <w:t xml:space="preserve">“C-Roads </w:t>
            </w:r>
            <w:proofErr w:type="spellStart"/>
            <w:r w:rsidRPr="008878D6">
              <w:rPr>
                <w:rFonts w:cs="Times New Roman"/>
                <w:iCs/>
                <w:sz w:val="22"/>
                <w:szCs w:val="22"/>
              </w:rPr>
              <w:t>Italy</w:t>
            </w:r>
            <w:proofErr w:type="spellEnd"/>
            <w:r w:rsidRPr="008878D6">
              <w:rPr>
                <w:rFonts w:cs="Times New Roman"/>
                <w:iCs/>
                <w:sz w:val="22"/>
                <w:szCs w:val="22"/>
              </w:rPr>
              <w:t xml:space="preserve">”, e “C-Roads </w:t>
            </w:r>
            <w:proofErr w:type="spellStart"/>
            <w:r w:rsidRPr="008878D6">
              <w:rPr>
                <w:rFonts w:cs="Times New Roman"/>
                <w:iCs/>
                <w:sz w:val="22"/>
                <w:szCs w:val="22"/>
              </w:rPr>
              <w:t>Italy</w:t>
            </w:r>
            <w:proofErr w:type="spellEnd"/>
            <w:r w:rsidRPr="008878D6">
              <w:rPr>
                <w:rFonts w:cs="Times New Roman"/>
                <w:iCs/>
                <w:sz w:val="22"/>
                <w:szCs w:val="22"/>
              </w:rPr>
              <w:t xml:space="preserve"> 2”</w:t>
            </w:r>
            <w:r>
              <w:rPr>
                <w:rFonts w:cs="Times New Roman"/>
                <w:iCs/>
                <w:sz w:val="22"/>
                <w:szCs w:val="22"/>
              </w:rPr>
              <w:t xml:space="preserve">, </w:t>
            </w:r>
            <w:r w:rsidRPr="00A65C56">
              <w:rPr>
                <w:rFonts w:cs="Times New Roman"/>
                <w:iCs/>
                <w:sz w:val="22"/>
                <w:szCs w:val="22"/>
              </w:rPr>
              <w:t>co-finanziati dalla Commissione Europea</w:t>
            </w:r>
            <w:r>
              <w:rPr>
                <w:rFonts w:cs="Times New Roman"/>
                <w:iCs/>
                <w:sz w:val="22"/>
                <w:szCs w:val="22"/>
              </w:rPr>
              <w:t xml:space="preserve"> e coordinati dal Ministero delle Infrastrutture e dei Trasporti</w:t>
            </w:r>
            <w:r w:rsidRPr="00A65C56">
              <w:rPr>
                <w:rFonts w:cs="Times New Roman"/>
                <w:iCs/>
                <w:sz w:val="22"/>
                <w:szCs w:val="22"/>
              </w:rPr>
              <w:t xml:space="preserve"> </w:t>
            </w:r>
            <w:r>
              <w:rPr>
                <w:rFonts w:cs="Times New Roman"/>
                <w:iCs/>
                <w:sz w:val="22"/>
                <w:szCs w:val="22"/>
              </w:rPr>
              <w:t xml:space="preserve">che </w:t>
            </w:r>
            <w:r w:rsidRPr="00B201DB">
              <w:rPr>
                <w:rFonts w:cs="Times New Roman"/>
                <w:iCs/>
                <w:sz w:val="22"/>
                <w:szCs w:val="22"/>
              </w:rPr>
              <w:t>vedono</w:t>
            </w:r>
            <w:r w:rsidR="00846B8F">
              <w:rPr>
                <w:rFonts w:cs="Times New Roman"/>
                <w:iCs/>
                <w:sz w:val="22"/>
                <w:szCs w:val="22"/>
              </w:rPr>
              <w:t>,</w:t>
            </w:r>
            <w:r w:rsidRPr="00B201DB">
              <w:rPr>
                <w:rFonts w:cs="Times New Roman"/>
                <w:iCs/>
                <w:sz w:val="22"/>
                <w:szCs w:val="22"/>
              </w:rPr>
              <w:t xml:space="preserve"> come soggetti attuatori</w:t>
            </w:r>
            <w:r w:rsidR="00846B8F">
              <w:rPr>
                <w:rFonts w:cs="Times New Roman"/>
                <w:iCs/>
                <w:sz w:val="22"/>
                <w:szCs w:val="22"/>
              </w:rPr>
              <w:t xml:space="preserve">, i </w:t>
            </w:r>
            <w:r w:rsidRPr="00B201DB">
              <w:rPr>
                <w:rFonts w:cs="Times New Roman"/>
                <w:iCs/>
                <w:sz w:val="22"/>
                <w:szCs w:val="22"/>
              </w:rPr>
              <w:t>gestori della ret</w:t>
            </w:r>
            <w:r>
              <w:rPr>
                <w:rFonts w:cs="Times New Roman"/>
                <w:iCs/>
                <w:sz w:val="22"/>
                <w:szCs w:val="22"/>
              </w:rPr>
              <w:t>e T</w:t>
            </w:r>
            <w:r w:rsidRPr="00B201DB">
              <w:rPr>
                <w:rFonts w:cs="Times New Roman"/>
                <w:iCs/>
                <w:sz w:val="22"/>
                <w:szCs w:val="22"/>
              </w:rPr>
              <w:t>ranseuropea</w:t>
            </w:r>
            <w:r>
              <w:rPr>
                <w:rFonts w:cs="Times New Roman"/>
                <w:iCs/>
                <w:sz w:val="22"/>
                <w:szCs w:val="22"/>
              </w:rPr>
              <w:t xml:space="preserve">, </w:t>
            </w:r>
            <w:r w:rsidRPr="00B201DB">
              <w:rPr>
                <w:rFonts w:cs="Times New Roman"/>
                <w:iCs/>
                <w:sz w:val="22"/>
                <w:szCs w:val="22"/>
              </w:rPr>
              <w:t xml:space="preserve">le città di Torino, Verona e Trento, </w:t>
            </w:r>
            <w:r w:rsidR="00846B8F">
              <w:rPr>
                <w:rFonts w:cs="Times New Roman"/>
                <w:iCs/>
                <w:sz w:val="22"/>
                <w:szCs w:val="22"/>
              </w:rPr>
              <w:t xml:space="preserve">i </w:t>
            </w:r>
            <w:r w:rsidRPr="00B201DB">
              <w:rPr>
                <w:rFonts w:cs="Times New Roman"/>
                <w:iCs/>
                <w:sz w:val="22"/>
                <w:szCs w:val="22"/>
              </w:rPr>
              <w:t xml:space="preserve">costruttori di veicoli, </w:t>
            </w:r>
            <w:r w:rsidR="00846B8F">
              <w:rPr>
                <w:rFonts w:cs="Times New Roman"/>
                <w:iCs/>
                <w:sz w:val="22"/>
                <w:szCs w:val="22"/>
              </w:rPr>
              <w:t xml:space="preserve">i </w:t>
            </w:r>
            <w:r w:rsidRPr="00B201DB">
              <w:rPr>
                <w:rFonts w:cs="Times New Roman"/>
                <w:iCs/>
                <w:sz w:val="22"/>
                <w:szCs w:val="22"/>
              </w:rPr>
              <w:t>centri di ricerca e</w:t>
            </w:r>
            <w:r w:rsidR="00846B8F">
              <w:rPr>
                <w:rFonts w:cs="Times New Roman"/>
                <w:iCs/>
                <w:sz w:val="22"/>
                <w:szCs w:val="22"/>
              </w:rPr>
              <w:t>d alcune</w:t>
            </w:r>
            <w:r w:rsidRPr="00B201DB">
              <w:rPr>
                <w:rFonts w:cs="Times New Roman"/>
                <w:iCs/>
                <w:sz w:val="22"/>
                <w:szCs w:val="22"/>
              </w:rPr>
              <w:t xml:space="preserve"> società di telecomunicazioni.</w:t>
            </w:r>
            <w:r>
              <w:rPr>
                <w:rFonts w:cs="Times New Roman"/>
                <w:iCs/>
                <w:sz w:val="22"/>
                <w:szCs w:val="22"/>
              </w:rPr>
              <w:t xml:space="preserve"> </w:t>
            </w:r>
            <w:r w:rsidRPr="008878D6">
              <w:rPr>
                <w:rFonts w:cs="Times New Roman"/>
                <w:iCs/>
                <w:sz w:val="22"/>
                <w:szCs w:val="22"/>
              </w:rPr>
              <w:t>I due progetti nazionali rivolti ai servizi C-ITS</w:t>
            </w:r>
            <w:r>
              <w:rPr>
                <w:rFonts w:cs="Times New Roman"/>
                <w:iCs/>
                <w:sz w:val="22"/>
                <w:szCs w:val="22"/>
              </w:rPr>
              <w:t xml:space="preserve"> sono </w:t>
            </w:r>
            <w:r w:rsidRPr="00A65C56">
              <w:rPr>
                <w:rFonts w:cs="Times New Roman"/>
                <w:iCs/>
                <w:sz w:val="22"/>
                <w:szCs w:val="22"/>
              </w:rPr>
              <w:t xml:space="preserve">inquadrati </w:t>
            </w:r>
            <w:r>
              <w:rPr>
                <w:rFonts w:cs="Times New Roman"/>
                <w:iCs/>
                <w:sz w:val="22"/>
                <w:szCs w:val="22"/>
              </w:rPr>
              <w:t xml:space="preserve"> nell’ambito della</w:t>
            </w:r>
            <w:r w:rsidRPr="00A65C56">
              <w:rPr>
                <w:rFonts w:cs="Times New Roman"/>
                <w:iCs/>
                <w:sz w:val="22"/>
                <w:szCs w:val="22"/>
              </w:rPr>
              <w:t xml:space="preserve"> Piattaforma europea “C-Roads Platform” </w:t>
            </w:r>
            <w:r>
              <w:rPr>
                <w:rFonts w:cs="Times New Roman"/>
                <w:iCs/>
                <w:sz w:val="22"/>
                <w:szCs w:val="22"/>
              </w:rPr>
              <w:t xml:space="preserve">il cui obiettivo principale consiste nella definizione di </w:t>
            </w:r>
            <w:r w:rsidRPr="008878D6">
              <w:rPr>
                <w:rFonts w:cs="Times New Roman"/>
                <w:iCs/>
                <w:sz w:val="22"/>
                <w:szCs w:val="22"/>
              </w:rPr>
              <w:t>requisiti funzionali, tecnici e organizzativi per garantire l’interoperabilità e l’armonizzazione dei servizi C-ITS tra i progetti pilota nazionali in tutta Europa</w:t>
            </w:r>
            <w:r>
              <w:rPr>
                <w:rFonts w:cs="Times New Roman"/>
                <w:iCs/>
                <w:sz w:val="22"/>
                <w:szCs w:val="22"/>
              </w:rPr>
              <w:t xml:space="preserve"> ed al cui interno</w:t>
            </w:r>
            <w:r w:rsidRPr="00A65C56">
              <w:rPr>
                <w:rFonts w:cs="Times New Roman"/>
                <w:iCs/>
                <w:sz w:val="22"/>
                <w:szCs w:val="22"/>
              </w:rPr>
              <w:t xml:space="preserve"> sono presenti 17 Stati membri (Austria, Belgio, Repubblica Ceca, Danimarca, Finlandia, Francia, Germania, Ungheria, Irlanda, Portogallo, Slovenia, Spagna, Svezia, Olanda, Regno Unito, G</w:t>
            </w:r>
            <w:r>
              <w:rPr>
                <w:rFonts w:cs="Times New Roman"/>
                <w:iCs/>
                <w:sz w:val="22"/>
                <w:szCs w:val="22"/>
              </w:rPr>
              <w:t xml:space="preserve">recia ed Italia) e la Norvegia. </w:t>
            </w:r>
            <w:r w:rsidRPr="00A65C56">
              <w:rPr>
                <w:rFonts w:cs="Times New Roman"/>
                <w:iCs/>
                <w:sz w:val="22"/>
                <w:szCs w:val="22"/>
              </w:rPr>
              <w:t xml:space="preserve">Relativamente al progetto </w:t>
            </w:r>
            <w:r w:rsidRPr="008878D6">
              <w:rPr>
                <w:rFonts w:cs="Times New Roman"/>
                <w:iCs/>
                <w:sz w:val="22"/>
                <w:szCs w:val="22"/>
              </w:rPr>
              <w:t xml:space="preserve">“C-Roads </w:t>
            </w:r>
            <w:proofErr w:type="spellStart"/>
            <w:r w:rsidRPr="008878D6">
              <w:rPr>
                <w:rFonts w:cs="Times New Roman"/>
                <w:iCs/>
                <w:sz w:val="22"/>
                <w:szCs w:val="22"/>
              </w:rPr>
              <w:t>Italy</w:t>
            </w:r>
            <w:proofErr w:type="spellEnd"/>
            <w:r w:rsidRPr="008878D6">
              <w:rPr>
                <w:rFonts w:cs="Times New Roman"/>
                <w:iCs/>
                <w:sz w:val="22"/>
                <w:szCs w:val="22"/>
              </w:rPr>
              <w:t>”,</w:t>
            </w:r>
            <w:r w:rsidRPr="00A65C56">
              <w:rPr>
                <w:rFonts w:cs="Times New Roman"/>
                <w:iCs/>
                <w:sz w:val="22"/>
                <w:szCs w:val="22"/>
              </w:rPr>
              <w:t xml:space="preserve"> la cui area di sperimentazione si sviluppa lungo il corridoio del Brennero e prevede anche test transfrontalieri con l’Austria</w:t>
            </w:r>
            <w:r>
              <w:rPr>
                <w:rFonts w:cs="Times New Roman"/>
                <w:iCs/>
                <w:sz w:val="22"/>
                <w:szCs w:val="22"/>
              </w:rPr>
              <w:t>,</w:t>
            </w:r>
            <w:r w:rsidRPr="00A65C56">
              <w:rPr>
                <w:rFonts w:cs="Times New Roman"/>
                <w:iCs/>
                <w:sz w:val="22"/>
                <w:szCs w:val="22"/>
              </w:rPr>
              <w:t xml:space="preserve"> l'impatto atteso dei servizi cooperativi dovrebbe avere ricadute positive sulla mobilità in termini di</w:t>
            </w:r>
            <w:r>
              <w:rPr>
                <w:rFonts w:cs="Times New Roman"/>
                <w:iCs/>
                <w:sz w:val="22"/>
                <w:szCs w:val="22"/>
              </w:rPr>
              <w:t xml:space="preserve"> s</w:t>
            </w:r>
            <w:r w:rsidRPr="00A65C56">
              <w:rPr>
                <w:rFonts w:cs="Times New Roman"/>
                <w:iCs/>
                <w:sz w:val="22"/>
                <w:szCs w:val="22"/>
              </w:rPr>
              <w:t>icurezza</w:t>
            </w:r>
            <w:r>
              <w:rPr>
                <w:rFonts w:cs="Times New Roman"/>
                <w:iCs/>
                <w:sz w:val="22"/>
                <w:szCs w:val="22"/>
              </w:rPr>
              <w:t>, f</w:t>
            </w:r>
            <w:r w:rsidRPr="00A65C56">
              <w:rPr>
                <w:rFonts w:cs="Times New Roman"/>
                <w:iCs/>
                <w:sz w:val="22"/>
                <w:szCs w:val="22"/>
              </w:rPr>
              <w:t xml:space="preserve">luidità del traffico </w:t>
            </w:r>
            <w:r>
              <w:rPr>
                <w:rFonts w:cs="Times New Roman"/>
                <w:iCs/>
                <w:sz w:val="22"/>
                <w:szCs w:val="22"/>
              </w:rPr>
              <w:t>ed e</w:t>
            </w:r>
            <w:r w:rsidRPr="00A65C56">
              <w:rPr>
                <w:rFonts w:cs="Times New Roman"/>
                <w:iCs/>
                <w:sz w:val="22"/>
                <w:szCs w:val="22"/>
              </w:rPr>
              <w:t>fficienza energetica.</w:t>
            </w:r>
            <w:r>
              <w:rPr>
                <w:rFonts w:cs="Times New Roman"/>
                <w:iCs/>
                <w:sz w:val="22"/>
                <w:szCs w:val="22"/>
              </w:rPr>
              <w:t xml:space="preserve"> </w:t>
            </w:r>
            <w:r w:rsidRPr="00A65C56">
              <w:rPr>
                <w:rFonts w:cs="Times New Roman"/>
                <w:iCs/>
                <w:sz w:val="22"/>
                <w:szCs w:val="22"/>
              </w:rPr>
              <w:t xml:space="preserve">L'obiettivo principale del secondo progetto “C-Roads </w:t>
            </w:r>
            <w:proofErr w:type="spellStart"/>
            <w:r w:rsidRPr="00A65C56">
              <w:rPr>
                <w:rFonts w:cs="Times New Roman"/>
                <w:iCs/>
                <w:sz w:val="22"/>
                <w:szCs w:val="22"/>
              </w:rPr>
              <w:t>Italy</w:t>
            </w:r>
            <w:proofErr w:type="spellEnd"/>
            <w:r w:rsidRPr="00A65C56">
              <w:rPr>
                <w:rFonts w:cs="Times New Roman"/>
                <w:iCs/>
                <w:sz w:val="22"/>
                <w:szCs w:val="22"/>
              </w:rPr>
              <w:t xml:space="preserve"> 2” è di studiare e di testare, principalmente in condizioni di traffico urbano reale, nell’ambito delle Città di Torino, Verona e Trento, una serie di servizi </w:t>
            </w:r>
            <w:r w:rsidR="00846B8F">
              <w:rPr>
                <w:rFonts w:cs="Times New Roman"/>
                <w:iCs/>
                <w:sz w:val="22"/>
                <w:szCs w:val="22"/>
              </w:rPr>
              <w:t xml:space="preserve">cosiddetti </w:t>
            </w:r>
            <w:r w:rsidRPr="00A65C56">
              <w:rPr>
                <w:rFonts w:cs="Times New Roman"/>
                <w:iCs/>
                <w:sz w:val="22"/>
                <w:szCs w:val="22"/>
              </w:rPr>
              <w:t>"</w:t>
            </w:r>
            <w:r w:rsidRPr="00846B8F">
              <w:rPr>
                <w:rFonts w:cs="Times New Roman"/>
                <w:i/>
                <w:iCs/>
                <w:sz w:val="22"/>
                <w:szCs w:val="22"/>
              </w:rPr>
              <w:t>Day1</w:t>
            </w:r>
            <w:r w:rsidRPr="00A65C56">
              <w:rPr>
                <w:rFonts w:cs="Times New Roman"/>
                <w:iCs/>
                <w:sz w:val="22"/>
                <w:szCs w:val="22"/>
              </w:rPr>
              <w:t>" e "</w:t>
            </w:r>
            <w:r w:rsidR="008F4645">
              <w:rPr>
                <w:rFonts w:cs="Times New Roman"/>
                <w:i/>
                <w:iCs/>
                <w:sz w:val="22"/>
                <w:szCs w:val="22"/>
              </w:rPr>
              <w:t>Day1.</w:t>
            </w:r>
            <w:r w:rsidRPr="00846B8F">
              <w:rPr>
                <w:rFonts w:cs="Times New Roman"/>
                <w:i/>
                <w:iCs/>
                <w:sz w:val="22"/>
                <w:szCs w:val="22"/>
              </w:rPr>
              <w:t>5</w:t>
            </w:r>
            <w:r w:rsidRPr="00A65C56">
              <w:rPr>
                <w:rFonts w:cs="Times New Roman"/>
                <w:iCs/>
                <w:sz w:val="22"/>
                <w:szCs w:val="22"/>
              </w:rPr>
              <w:t>"</w:t>
            </w:r>
            <w:r>
              <w:rPr>
                <w:rFonts w:cs="Times New Roman"/>
                <w:iCs/>
                <w:sz w:val="22"/>
                <w:szCs w:val="22"/>
              </w:rPr>
              <w:t>.</w:t>
            </w:r>
            <w:r w:rsidRPr="00A65C56">
              <w:rPr>
                <w:rFonts w:cs="Times New Roman"/>
                <w:iCs/>
                <w:sz w:val="22"/>
                <w:szCs w:val="22"/>
              </w:rPr>
              <w:t xml:space="preserve"> Per testare tali servizi C-ITS, è necessario che le infrastrutture siano equipaggiate con tecnologie innovative ed anche che i veicoli siano equipaggiati con sistemi in grado di recepire informazioni da fornire al conducente, anche con strategie di controllo del veicolo. I citati progetti nazionali C-ITS</w:t>
            </w:r>
            <w:r>
              <w:rPr>
                <w:rFonts w:cs="Times New Roman"/>
                <w:iCs/>
                <w:sz w:val="22"/>
                <w:szCs w:val="22"/>
              </w:rPr>
              <w:t xml:space="preserve"> </w:t>
            </w:r>
            <w:r w:rsidRPr="00A65C56">
              <w:rPr>
                <w:rFonts w:cs="Times New Roman"/>
                <w:iCs/>
                <w:sz w:val="22"/>
                <w:szCs w:val="22"/>
              </w:rPr>
              <w:t>si collocano a pieno diritto nell’ambito della trasformazione digitale auspicata dal Decreto Ministeriale 70 del 2018 “</w:t>
            </w:r>
            <w:r w:rsidRPr="00846B8F">
              <w:rPr>
                <w:rFonts w:cs="Times New Roman"/>
                <w:i/>
                <w:iCs/>
                <w:sz w:val="22"/>
                <w:szCs w:val="22"/>
              </w:rPr>
              <w:t>Smart Road</w:t>
            </w:r>
            <w:r w:rsidRPr="00A65C56">
              <w:rPr>
                <w:rFonts w:cs="Times New Roman"/>
                <w:iCs/>
                <w:sz w:val="22"/>
                <w:szCs w:val="22"/>
              </w:rPr>
              <w:t>”. Nei prossimi anni ci si aspetta che la digitalizzazione dei trasporti compia un salto in avanti, non vi è dubbio</w:t>
            </w:r>
            <w:r w:rsidR="00846B8F">
              <w:rPr>
                <w:rFonts w:cs="Times New Roman"/>
                <w:iCs/>
                <w:sz w:val="22"/>
                <w:szCs w:val="22"/>
              </w:rPr>
              <w:t>, infatti,</w:t>
            </w:r>
            <w:r w:rsidRPr="00A65C56">
              <w:rPr>
                <w:rFonts w:cs="Times New Roman"/>
                <w:iCs/>
                <w:sz w:val="22"/>
                <w:szCs w:val="22"/>
              </w:rPr>
              <w:t xml:space="preserve"> che l’infrastruttura digitale acquisirà un’importanza significativa e sosterrà notevolmente i veicoli connessi e automatizzati. La trasformazione digitale delle infrastrutture di trasporto rappresenta la possibilità di migliorarne la qualità, la sicurezza, l’utilizzo e di farne strumenti per generare dati e servizi che agevolino la mobilità di persone e merci, facilitando e semplificando il trasporto.</w:t>
            </w:r>
            <w:r>
              <w:rPr>
                <w:rFonts w:cs="Times New Roman"/>
                <w:iCs/>
                <w:sz w:val="22"/>
                <w:szCs w:val="22"/>
              </w:rPr>
              <w:t xml:space="preserve"> </w:t>
            </w:r>
            <w:r w:rsidRPr="00A65C56">
              <w:rPr>
                <w:rFonts w:cs="Times New Roman"/>
                <w:iCs/>
                <w:sz w:val="22"/>
                <w:szCs w:val="22"/>
              </w:rPr>
              <w:t xml:space="preserve">A seguito del lancio da parte della Commissione Europea del Bando CEF </w:t>
            </w:r>
            <w:proofErr w:type="spellStart"/>
            <w:r w:rsidRPr="00A65C56">
              <w:rPr>
                <w:rFonts w:cs="Times New Roman"/>
                <w:iCs/>
                <w:sz w:val="22"/>
                <w:szCs w:val="22"/>
              </w:rPr>
              <w:t>Transport</w:t>
            </w:r>
            <w:proofErr w:type="spellEnd"/>
            <w:r w:rsidRPr="00A65C56">
              <w:rPr>
                <w:rFonts w:cs="Times New Roman"/>
                <w:iCs/>
                <w:sz w:val="22"/>
                <w:szCs w:val="22"/>
              </w:rPr>
              <w:t xml:space="preserve"> 2019 </w:t>
            </w:r>
            <w:proofErr w:type="spellStart"/>
            <w:r w:rsidRPr="00450E48">
              <w:rPr>
                <w:rFonts w:cs="Times New Roman"/>
                <w:i/>
                <w:iCs/>
                <w:sz w:val="22"/>
                <w:szCs w:val="22"/>
              </w:rPr>
              <w:t>Reflow</w:t>
            </w:r>
            <w:proofErr w:type="spellEnd"/>
            <w:r w:rsidRPr="00450E48">
              <w:rPr>
                <w:rFonts w:cs="Times New Roman"/>
                <w:i/>
                <w:iCs/>
                <w:sz w:val="22"/>
                <w:szCs w:val="22"/>
              </w:rPr>
              <w:t xml:space="preserve"> Call</w:t>
            </w:r>
            <w:r w:rsidRPr="00A65C56">
              <w:rPr>
                <w:rFonts w:cs="Times New Roman"/>
                <w:iCs/>
                <w:sz w:val="22"/>
                <w:szCs w:val="22"/>
              </w:rPr>
              <w:t xml:space="preserve"> è stato sottomesso un nuovo progetto denominato “C-Roads </w:t>
            </w:r>
            <w:proofErr w:type="spellStart"/>
            <w:r w:rsidRPr="00A65C56">
              <w:rPr>
                <w:rFonts w:cs="Times New Roman"/>
                <w:iCs/>
                <w:sz w:val="22"/>
                <w:szCs w:val="22"/>
              </w:rPr>
              <w:t>Italy</w:t>
            </w:r>
            <w:proofErr w:type="spellEnd"/>
            <w:r w:rsidRPr="00A65C56">
              <w:rPr>
                <w:rFonts w:cs="Times New Roman"/>
                <w:iCs/>
                <w:sz w:val="22"/>
                <w:szCs w:val="22"/>
              </w:rPr>
              <w:t xml:space="preserve"> 3” che si collega alle due Azioni attualmente in corso: </w:t>
            </w:r>
            <w:r>
              <w:rPr>
                <w:rFonts w:cs="Times New Roman"/>
                <w:iCs/>
                <w:sz w:val="22"/>
                <w:szCs w:val="22"/>
              </w:rPr>
              <w:t>“</w:t>
            </w:r>
            <w:r w:rsidRPr="00A65C56">
              <w:rPr>
                <w:rFonts w:cs="Times New Roman"/>
                <w:iCs/>
                <w:sz w:val="22"/>
                <w:szCs w:val="22"/>
              </w:rPr>
              <w:t xml:space="preserve">C-Roads </w:t>
            </w:r>
            <w:proofErr w:type="spellStart"/>
            <w:r w:rsidRPr="00A65C56">
              <w:rPr>
                <w:rFonts w:cs="Times New Roman"/>
                <w:iCs/>
                <w:sz w:val="22"/>
                <w:szCs w:val="22"/>
              </w:rPr>
              <w:t>Italy</w:t>
            </w:r>
            <w:proofErr w:type="spellEnd"/>
            <w:r>
              <w:rPr>
                <w:rFonts w:cs="Times New Roman"/>
                <w:iCs/>
                <w:sz w:val="22"/>
                <w:szCs w:val="22"/>
              </w:rPr>
              <w:t>”</w:t>
            </w:r>
            <w:r w:rsidRPr="00A65C56">
              <w:rPr>
                <w:rFonts w:cs="Times New Roman"/>
                <w:iCs/>
                <w:sz w:val="22"/>
                <w:szCs w:val="22"/>
              </w:rPr>
              <w:t xml:space="preserve"> e </w:t>
            </w:r>
            <w:r>
              <w:rPr>
                <w:rFonts w:cs="Times New Roman"/>
                <w:iCs/>
                <w:sz w:val="22"/>
                <w:szCs w:val="22"/>
              </w:rPr>
              <w:t>“</w:t>
            </w:r>
            <w:r w:rsidRPr="00A65C56">
              <w:rPr>
                <w:rFonts w:cs="Times New Roman"/>
                <w:iCs/>
                <w:sz w:val="22"/>
                <w:szCs w:val="22"/>
              </w:rPr>
              <w:t xml:space="preserve">C-Roads </w:t>
            </w:r>
            <w:proofErr w:type="spellStart"/>
            <w:r w:rsidRPr="00A65C56">
              <w:rPr>
                <w:rFonts w:cs="Times New Roman"/>
                <w:iCs/>
                <w:sz w:val="22"/>
                <w:szCs w:val="22"/>
              </w:rPr>
              <w:t>Italy</w:t>
            </w:r>
            <w:proofErr w:type="spellEnd"/>
            <w:r w:rsidRPr="00A65C56">
              <w:rPr>
                <w:rFonts w:cs="Times New Roman"/>
                <w:iCs/>
                <w:sz w:val="22"/>
                <w:szCs w:val="22"/>
              </w:rPr>
              <w:t xml:space="preserve"> 2</w:t>
            </w:r>
            <w:r>
              <w:rPr>
                <w:rFonts w:cs="Times New Roman"/>
                <w:iCs/>
                <w:sz w:val="22"/>
                <w:szCs w:val="22"/>
              </w:rPr>
              <w:t>”</w:t>
            </w:r>
            <w:r w:rsidRPr="00A65C56">
              <w:rPr>
                <w:rFonts w:cs="Times New Roman"/>
                <w:iCs/>
                <w:sz w:val="22"/>
                <w:szCs w:val="22"/>
              </w:rPr>
              <w:t>. L'obiettivo principale della nuova proposta è di estendere la copertura geografica dei Servizi C-ITS “</w:t>
            </w:r>
            <w:r w:rsidR="008F4645">
              <w:rPr>
                <w:rFonts w:cs="Times New Roman"/>
                <w:i/>
                <w:iCs/>
                <w:sz w:val="22"/>
                <w:szCs w:val="22"/>
              </w:rPr>
              <w:t>Day</w:t>
            </w:r>
            <w:r w:rsidRPr="008F4645">
              <w:rPr>
                <w:rFonts w:cs="Times New Roman"/>
                <w:i/>
                <w:iCs/>
                <w:sz w:val="22"/>
                <w:szCs w:val="22"/>
              </w:rPr>
              <w:t>1</w:t>
            </w:r>
            <w:r w:rsidRPr="00A65C56">
              <w:rPr>
                <w:rFonts w:cs="Times New Roman"/>
                <w:iCs/>
                <w:sz w:val="22"/>
                <w:szCs w:val="22"/>
              </w:rPr>
              <w:t>” e “</w:t>
            </w:r>
            <w:r w:rsidRPr="008F4645">
              <w:rPr>
                <w:rFonts w:cs="Times New Roman"/>
                <w:i/>
                <w:iCs/>
                <w:sz w:val="22"/>
                <w:szCs w:val="22"/>
              </w:rPr>
              <w:t>Day1.5</w:t>
            </w:r>
            <w:r w:rsidRPr="00A65C56">
              <w:rPr>
                <w:rFonts w:cs="Times New Roman"/>
                <w:iCs/>
                <w:sz w:val="22"/>
                <w:szCs w:val="22"/>
              </w:rPr>
              <w:t xml:space="preserve">” definiti dalla piattaforma </w:t>
            </w:r>
            <w:r w:rsidR="008F4645">
              <w:rPr>
                <w:rFonts w:cs="Times New Roman"/>
                <w:iCs/>
                <w:sz w:val="22"/>
                <w:szCs w:val="22"/>
              </w:rPr>
              <w:t xml:space="preserve">europea </w:t>
            </w:r>
            <w:r w:rsidRPr="00A65C56">
              <w:rPr>
                <w:rFonts w:cs="Times New Roman"/>
                <w:iCs/>
                <w:sz w:val="22"/>
                <w:szCs w:val="22"/>
              </w:rPr>
              <w:t xml:space="preserve">C-ITS lungo la rete stradale </w:t>
            </w:r>
            <w:r w:rsidR="008F4645">
              <w:rPr>
                <w:rFonts w:cs="Times New Roman"/>
                <w:iCs/>
                <w:sz w:val="22"/>
                <w:szCs w:val="22"/>
              </w:rPr>
              <w:t>centrale</w:t>
            </w:r>
            <w:r w:rsidRPr="00A65C56">
              <w:rPr>
                <w:rFonts w:cs="Times New Roman"/>
                <w:iCs/>
                <w:sz w:val="22"/>
                <w:szCs w:val="22"/>
              </w:rPr>
              <w:t xml:space="preserve"> nazionale, parte dei </w:t>
            </w:r>
            <w:r w:rsidRPr="00A65C56">
              <w:rPr>
                <w:rFonts w:cs="Times New Roman"/>
                <w:iCs/>
                <w:sz w:val="22"/>
                <w:szCs w:val="22"/>
              </w:rPr>
              <w:lastRenderedPageBreak/>
              <w:t xml:space="preserve">Corridoi Europei “Scandinavo-Mediterraneo” e “Mediterraneo”, al fine di contribuire a massimizzare l'impatto sulla sicurezza stradale e sull'efficienza del traffico, attraverso la continuità dei servizi cooperativi C-ITS. Ciò implica che le infrastrutture stradali dovranno essere equipaggiate, o aggiornate, con tecnologie innovative per consentire l'interazione e lo scambio di informazioni tra infrastrutture e veicoli (I2V) - (V2X). La progettazione e l'architettura di comunicazione si baserà su una soluzione “ibrida”, come definito dalla Strategia Europea C-ITS, ovvero attraverso tecnologie </w:t>
            </w:r>
            <w:r w:rsidR="008F4645">
              <w:rPr>
                <w:rFonts w:cs="Times New Roman"/>
                <w:iCs/>
                <w:sz w:val="22"/>
                <w:szCs w:val="22"/>
              </w:rPr>
              <w:t>“</w:t>
            </w:r>
            <w:r w:rsidRPr="00A65C56">
              <w:rPr>
                <w:rFonts w:cs="Times New Roman"/>
                <w:iCs/>
                <w:sz w:val="22"/>
                <w:szCs w:val="22"/>
              </w:rPr>
              <w:t xml:space="preserve">ITS-G5" per il corto raggio e “rete cellulare” per il lungo raggio, applicando le specifiche ed i profili architetturali sviluppati della Piattaforma </w:t>
            </w:r>
            <w:r w:rsidR="008F4645">
              <w:rPr>
                <w:rFonts w:cs="Times New Roman"/>
                <w:iCs/>
                <w:sz w:val="22"/>
                <w:szCs w:val="22"/>
              </w:rPr>
              <w:t>“</w:t>
            </w:r>
            <w:r w:rsidRPr="00A65C56">
              <w:rPr>
                <w:rFonts w:cs="Times New Roman"/>
                <w:iCs/>
                <w:sz w:val="22"/>
                <w:szCs w:val="22"/>
              </w:rPr>
              <w:t>C-Roads</w:t>
            </w:r>
            <w:r w:rsidR="008F4645">
              <w:rPr>
                <w:rFonts w:cs="Times New Roman"/>
                <w:iCs/>
                <w:sz w:val="22"/>
                <w:szCs w:val="22"/>
              </w:rPr>
              <w:t>”</w:t>
            </w:r>
            <w:r w:rsidRPr="00A65C56">
              <w:rPr>
                <w:rFonts w:cs="Times New Roman"/>
                <w:iCs/>
                <w:sz w:val="22"/>
                <w:szCs w:val="22"/>
              </w:rPr>
              <w:t xml:space="preserve">. In tal modo, sarà assicurata l’interoperabilità e continuità dei servizi C-ITS e la compatibilità con quanto sviluppato nei precedenti </w:t>
            </w:r>
            <w:r w:rsidRPr="00706961">
              <w:rPr>
                <w:rFonts w:cs="Times New Roman"/>
                <w:iCs/>
                <w:sz w:val="22"/>
                <w:szCs w:val="22"/>
              </w:rPr>
              <w:t>progetti.</w:t>
            </w:r>
          </w:p>
        </w:tc>
      </w:tr>
    </w:tbl>
    <w:p w14:paraId="07938922" w14:textId="77777777" w:rsidR="008F4645" w:rsidRDefault="008F4645" w:rsidP="007D36E1">
      <w:pPr>
        <w:pStyle w:val="Paragrafoelenco"/>
        <w:ind w:left="0" w:firstLine="567"/>
        <w:rPr>
          <w:color w:val="auto"/>
        </w:rPr>
      </w:pPr>
      <w:bookmarkStart w:id="0" w:name="_Hlk38889679"/>
    </w:p>
    <w:p w14:paraId="42008690" w14:textId="77777777" w:rsidR="007D36E1" w:rsidRDefault="007D36E1" w:rsidP="007D36E1">
      <w:pPr>
        <w:pStyle w:val="Paragrafoelenco"/>
        <w:ind w:left="0" w:firstLine="567"/>
        <w:rPr>
          <w:color w:val="auto"/>
        </w:rPr>
      </w:pPr>
      <w:r>
        <w:rPr>
          <w:color w:val="auto"/>
        </w:rPr>
        <w:t>Al momento, per l’Italia</w:t>
      </w:r>
      <w:r w:rsidR="00E06434">
        <w:rPr>
          <w:color w:val="auto"/>
        </w:rPr>
        <w:t xml:space="preserve"> nelle liste progetti connesse ai Corridoi,</w:t>
      </w:r>
      <w:r>
        <w:rPr>
          <w:color w:val="auto"/>
        </w:rPr>
        <w:t xml:space="preserve"> si segnalano 414 interventi, che interessano il solo territorio nazionale,</w:t>
      </w:r>
      <w:r w:rsidRPr="00FF0507">
        <w:rPr>
          <w:color w:val="auto"/>
        </w:rPr>
        <w:t xml:space="preserve"> </w:t>
      </w:r>
      <w:r>
        <w:rPr>
          <w:color w:val="auto"/>
        </w:rPr>
        <w:t>presenti sui 4 Corridoi, per una stima di investimenti pari a</w:t>
      </w:r>
      <w:r w:rsidR="008F4645">
        <w:rPr>
          <w:color w:val="auto"/>
        </w:rPr>
        <w:t xml:space="preserve"> circa 133,16 miliardi di euro; </w:t>
      </w:r>
      <w:r w:rsidR="00DE7C45">
        <w:rPr>
          <w:color w:val="auto"/>
        </w:rPr>
        <w:t xml:space="preserve">ad essi si aggiungono 69 </w:t>
      </w:r>
      <w:r w:rsidRPr="0081117D">
        <w:rPr>
          <w:color w:val="auto"/>
        </w:rPr>
        <w:t>progetti</w:t>
      </w:r>
      <w:r>
        <w:rPr>
          <w:color w:val="auto"/>
        </w:rPr>
        <w:t xml:space="preserve"> in cui l’Italia compare in partenariati internazionali, arrivando quindi a un totale di 483 interventi con investimenti complessivi per</w:t>
      </w:r>
      <w:r w:rsidR="008F4645">
        <w:rPr>
          <w:color w:val="auto"/>
        </w:rPr>
        <w:t xml:space="preserve"> circa 150,54 miliardi di euro. </w:t>
      </w:r>
      <w:r>
        <w:rPr>
          <w:color w:val="auto"/>
        </w:rPr>
        <w:t>Dell’intero portafoglio, 296 interventi non risultano completati alla fine del 2019 per investimenti pari a circa 96,03 mili</w:t>
      </w:r>
      <w:r w:rsidR="003479AB">
        <w:rPr>
          <w:color w:val="auto"/>
        </w:rPr>
        <w:t>ardi di euro. Nella Tabella XI.2</w:t>
      </w:r>
      <w:r>
        <w:rPr>
          <w:color w:val="auto"/>
        </w:rPr>
        <w:t>.</w:t>
      </w:r>
      <w:r w:rsidR="003479AB">
        <w:rPr>
          <w:color w:val="auto"/>
        </w:rPr>
        <w:t>1</w:t>
      </w:r>
      <w:r w:rsidR="00220683">
        <w:rPr>
          <w:color w:val="auto"/>
        </w:rPr>
        <w:t>.1,</w:t>
      </w:r>
      <w:r>
        <w:rPr>
          <w:color w:val="auto"/>
        </w:rPr>
        <w:t xml:space="preserve"> si riporta l’attribuzione geografica </w:t>
      </w:r>
      <w:r w:rsidR="008F4645">
        <w:rPr>
          <w:color w:val="auto"/>
        </w:rPr>
        <w:t>per corridoio</w:t>
      </w:r>
      <w:r w:rsidR="00220683">
        <w:rPr>
          <w:color w:val="auto"/>
        </w:rPr>
        <w:t>,</w:t>
      </w:r>
      <w:r w:rsidR="008F4645">
        <w:rPr>
          <w:color w:val="auto"/>
        </w:rPr>
        <w:t xml:space="preserve"> </w:t>
      </w:r>
      <w:r w:rsidR="00220683">
        <w:rPr>
          <w:color w:val="auto"/>
        </w:rPr>
        <w:t>dei 414 progetti</w:t>
      </w:r>
      <w:r>
        <w:rPr>
          <w:color w:val="auto"/>
        </w:rPr>
        <w:t xml:space="preserve"> che interessano esclusivamente l’Italia, con il relativo investimento globale, avendo presente che </w:t>
      </w:r>
      <w:r w:rsidR="008F4645">
        <w:rPr>
          <w:color w:val="auto"/>
        </w:rPr>
        <w:t xml:space="preserve">alcuni </w:t>
      </w:r>
      <w:r>
        <w:rPr>
          <w:color w:val="auto"/>
        </w:rPr>
        <w:t xml:space="preserve">interventi sono in comune a più corridoi. </w:t>
      </w:r>
    </w:p>
    <w:p w14:paraId="29371868" w14:textId="77777777" w:rsidR="007D36E1" w:rsidRDefault="007D36E1" w:rsidP="007D36E1">
      <w:pPr>
        <w:pStyle w:val="Paragrafoelenco"/>
        <w:ind w:left="0" w:firstLine="567"/>
        <w:rPr>
          <w:color w:val="auto"/>
        </w:rPr>
      </w:pPr>
    </w:p>
    <w:p w14:paraId="41B01C4E" w14:textId="77777777" w:rsidR="007D36E1" w:rsidRPr="003479AB" w:rsidRDefault="005D75DA" w:rsidP="003479AB">
      <w:pPr>
        <w:rPr>
          <w:b/>
          <w:color w:val="auto"/>
        </w:rPr>
      </w:pPr>
      <w:proofErr w:type="spellStart"/>
      <w:r w:rsidRPr="003479AB">
        <w:rPr>
          <w:b/>
          <w:color w:val="auto"/>
        </w:rPr>
        <w:t>Tab</w:t>
      </w:r>
      <w:proofErr w:type="spellEnd"/>
      <w:r w:rsidR="003479AB" w:rsidRPr="003479AB">
        <w:rPr>
          <w:b/>
          <w:color w:val="auto"/>
        </w:rPr>
        <w:t>.</w:t>
      </w:r>
      <w:r w:rsidRPr="003479AB">
        <w:rPr>
          <w:b/>
          <w:color w:val="auto"/>
        </w:rPr>
        <w:t xml:space="preserve"> XI.2</w:t>
      </w:r>
      <w:r w:rsidR="007D36E1" w:rsidRPr="003479AB">
        <w:rPr>
          <w:b/>
          <w:color w:val="auto"/>
        </w:rPr>
        <w:t>.</w:t>
      </w:r>
      <w:r w:rsidRPr="003479AB">
        <w:rPr>
          <w:b/>
          <w:color w:val="auto"/>
        </w:rPr>
        <w:t>1</w:t>
      </w:r>
      <w:r w:rsidR="007D36E1" w:rsidRPr="003479AB">
        <w:rPr>
          <w:b/>
          <w:color w:val="auto"/>
        </w:rPr>
        <w:t xml:space="preserve">.1 - Progetti italiani presenti nei 4 Corridoi TEN-T </w:t>
      </w:r>
    </w:p>
    <w:p w14:paraId="1C3AC3F7" w14:textId="77777777" w:rsidR="003479AB" w:rsidRPr="003479AB" w:rsidRDefault="003479AB" w:rsidP="007D36E1">
      <w:pPr>
        <w:pStyle w:val="Paragrafoelenco"/>
        <w:ind w:left="0" w:firstLine="567"/>
        <w:rPr>
          <w:b/>
          <w:color w:val="auto"/>
        </w:rPr>
      </w:pPr>
    </w:p>
    <w:tbl>
      <w:tblPr>
        <w:tblStyle w:val="Grigliatabella"/>
        <w:tblW w:w="98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3"/>
        <w:gridCol w:w="1975"/>
        <w:gridCol w:w="2608"/>
      </w:tblGrid>
      <w:tr w:rsidR="007D36E1" w:rsidRPr="0001085A" w14:paraId="6695BF73" w14:textId="77777777" w:rsidTr="003479AB">
        <w:trPr>
          <w:trHeight w:val="683"/>
        </w:trPr>
        <w:tc>
          <w:tcPr>
            <w:tcW w:w="5283" w:type="dxa"/>
            <w:tcBorders>
              <w:top w:val="single" w:sz="4" w:space="0" w:color="auto"/>
              <w:bottom w:val="single" w:sz="4" w:space="0" w:color="auto"/>
            </w:tcBorders>
            <w:vAlign w:val="center"/>
          </w:tcPr>
          <w:p w14:paraId="157C963A" w14:textId="77777777" w:rsidR="007D36E1" w:rsidRPr="00E23EFE" w:rsidRDefault="007D36E1" w:rsidP="008F4645">
            <w:pPr>
              <w:rPr>
                <w:rFonts w:ascii="Times New Roman" w:hAnsi="Times New Roman" w:cs="Times New Roman"/>
                <w:b/>
                <w:bCs/>
              </w:rPr>
            </w:pPr>
            <w:r w:rsidRPr="00E23EFE">
              <w:rPr>
                <w:rFonts w:ascii="Times New Roman" w:hAnsi="Times New Roman" w:cs="Times New Roman"/>
                <w:b/>
                <w:bCs/>
              </w:rPr>
              <w:t>Corridoio</w:t>
            </w:r>
          </w:p>
        </w:tc>
        <w:tc>
          <w:tcPr>
            <w:tcW w:w="1975" w:type="dxa"/>
            <w:tcBorders>
              <w:top w:val="single" w:sz="4" w:space="0" w:color="auto"/>
              <w:bottom w:val="single" w:sz="4" w:space="0" w:color="auto"/>
            </w:tcBorders>
            <w:vAlign w:val="center"/>
          </w:tcPr>
          <w:p w14:paraId="679BEB16" w14:textId="77777777" w:rsidR="007D36E1" w:rsidRPr="00E23EFE" w:rsidRDefault="007D36E1" w:rsidP="006A564B">
            <w:pPr>
              <w:jc w:val="center"/>
              <w:rPr>
                <w:rFonts w:ascii="Times New Roman" w:hAnsi="Times New Roman" w:cs="Times New Roman"/>
                <w:b/>
                <w:bCs/>
              </w:rPr>
            </w:pPr>
            <w:r w:rsidRPr="00E23EFE">
              <w:rPr>
                <w:rFonts w:ascii="Times New Roman" w:hAnsi="Times New Roman" w:cs="Times New Roman"/>
                <w:b/>
                <w:bCs/>
              </w:rPr>
              <w:t>N. interventi</w:t>
            </w:r>
          </w:p>
        </w:tc>
        <w:tc>
          <w:tcPr>
            <w:tcW w:w="2608" w:type="dxa"/>
            <w:tcBorders>
              <w:top w:val="single" w:sz="4" w:space="0" w:color="auto"/>
              <w:bottom w:val="single" w:sz="4" w:space="0" w:color="auto"/>
            </w:tcBorders>
            <w:vAlign w:val="center"/>
          </w:tcPr>
          <w:p w14:paraId="639697C9" w14:textId="77777777" w:rsidR="007D36E1" w:rsidRPr="00E23EFE" w:rsidRDefault="007D36E1" w:rsidP="006A564B">
            <w:pPr>
              <w:jc w:val="center"/>
              <w:rPr>
                <w:rFonts w:ascii="Times New Roman" w:hAnsi="Times New Roman" w:cs="Times New Roman"/>
                <w:b/>
                <w:bCs/>
              </w:rPr>
            </w:pPr>
            <w:r w:rsidRPr="00E23EFE">
              <w:rPr>
                <w:rFonts w:ascii="Times New Roman" w:hAnsi="Times New Roman" w:cs="Times New Roman"/>
                <w:b/>
                <w:bCs/>
              </w:rPr>
              <w:t xml:space="preserve">Totale investimenti </w:t>
            </w:r>
          </w:p>
          <w:p w14:paraId="2349F055" w14:textId="77777777" w:rsidR="007D36E1" w:rsidRPr="00E23EFE" w:rsidRDefault="008F4645" w:rsidP="008F4645">
            <w:pPr>
              <w:jc w:val="center"/>
              <w:rPr>
                <w:rFonts w:ascii="Times New Roman" w:hAnsi="Times New Roman" w:cs="Times New Roman"/>
                <w:b/>
                <w:bCs/>
              </w:rPr>
            </w:pPr>
            <w:r w:rsidRPr="00E23EFE">
              <w:rPr>
                <w:rFonts w:ascii="Times New Roman" w:hAnsi="Times New Roman" w:cs="Times New Roman"/>
                <w:b/>
                <w:bCs/>
              </w:rPr>
              <w:t xml:space="preserve">(mio </w:t>
            </w:r>
            <w:r w:rsidR="007D36E1" w:rsidRPr="00E23EFE">
              <w:rPr>
                <w:rFonts w:ascii="Times New Roman" w:hAnsi="Times New Roman" w:cs="Times New Roman"/>
                <w:b/>
                <w:bCs/>
              </w:rPr>
              <w:t>€)</w:t>
            </w:r>
          </w:p>
        </w:tc>
      </w:tr>
      <w:tr w:rsidR="007D36E1" w:rsidRPr="0001085A" w14:paraId="139DF821" w14:textId="77777777" w:rsidTr="003479AB">
        <w:trPr>
          <w:trHeight w:val="358"/>
        </w:trPr>
        <w:tc>
          <w:tcPr>
            <w:tcW w:w="5283" w:type="dxa"/>
            <w:tcBorders>
              <w:top w:val="single" w:sz="4" w:space="0" w:color="auto"/>
            </w:tcBorders>
            <w:vAlign w:val="center"/>
          </w:tcPr>
          <w:p w14:paraId="19DE7F10" w14:textId="77777777" w:rsidR="007D36E1" w:rsidRPr="00E23EFE" w:rsidRDefault="007D36E1" w:rsidP="006A564B">
            <w:pPr>
              <w:rPr>
                <w:rFonts w:ascii="Times New Roman" w:hAnsi="Times New Roman" w:cs="Times New Roman"/>
                <w:bCs/>
              </w:rPr>
            </w:pPr>
            <w:r w:rsidRPr="00E23EFE">
              <w:rPr>
                <w:rFonts w:ascii="Times New Roman" w:hAnsi="Times New Roman" w:cs="Times New Roman"/>
                <w:bCs/>
              </w:rPr>
              <w:t>CNC Baltico-Adriatico</w:t>
            </w:r>
          </w:p>
        </w:tc>
        <w:tc>
          <w:tcPr>
            <w:tcW w:w="1975" w:type="dxa"/>
            <w:tcBorders>
              <w:top w:val="single" w:sz="4" w:space="0" w:color="auto"/>
            </w:tcBorders>
          </w:tcPr>
          <w:p w14:paraId="07BD4BF4"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124</w:t>
            </w:r>
          </w:p>
        </w:tc>
        <w:tc>
          <w:tcPr>
            <w:tcW w:w="2608" w:type="dxa"/>
            <w:tcBorders>
              <w:top w:val="single" w:sz="4" w:space="0" w:color="auto"/>
            </w:tcBorders>
          </w:tcPr>
          <w:p w14:paraId="04177988"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14.809,72</w:t>
            </w:r>
          </w:p>
        </w:tc>
      </w:tr>
      <w:tr w:rsidR="007D36E1" w:rsidRPr="0001085A" w14:paraId="74ACEBC0" w14:textId="77777777" w:rsidTr="003479AB">
        <w:trPr>
          <w:trHeight w:val="358"/>
        </w:trPr>
        <w:tc>
          <w:tcPr>
            <w:tcW w:w="5283" w:type="dxa"/>
            <w:vAlign w:val="center"/>
          </w:tcPr>
          <w:p w14:paraId="2E44B36D" w14:textId="77777777" w:rsidR="007D36E1" w:rsidRPr="00E23EFE" w:rsidRDefault="007D36E1" w:rsidP="006A564B">
            <w:pPr>
              <w:rPr>
                <w:rFonts w:ascii="Times New Roman" w:hAnsi="Times New Roman" w:cs="Times New Roman"/>
                <w:bCs/>
              </w:rPr>
            </w:pPr>
            <w:r w:rsidRPr="00E23EFE">
              <w:rPr>
                <w:rFonts w:ascii="Times New Roman" w:hAnsi="Times New Roman" w:cs="Times New Roman"/>
                <w:bCs/>
              </w:rPr>
              <w:t>CNC Mediterraneo</w:t>
            </w:r>
          </w:p>
        </w:tc>
        <w:tc>
          <w:tcPr>
            <w:tcW w:w="1975" w:type="dxa"/>
          </w:tcPr>
          <w:p w14:paraId="1CA4213C"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180</w:t>
            </w:r>
          </w:p>
        </w:tc>
        <w:tc>
          <w:tcPr>
            <w:tcW w:w="2608" w:type="dxa"/>
          </w:tcPr>
          <w:p w14:paraId="5F9BBCF5"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35.625,45</w:t>
            </w:r>
          </w:p>
        </w:tc>
      </w:tr>
      <w:tr w:rsidR="007D36E1" w:rsidRPr="0001085A" w14:paraId="4A9D575D" w14:textId="77777777" w:rsidTr="003479AB">
        <w:trPr>
          <w:trHeight w:val="358"/>
        </w:trPr>
        <w:tc>
          <w:tcPr>
            <w:tcW w:w="5283" w:type="dxa"/>
            <w:vAlign w:val="center"/>
          </w:tcPr>
          <w:p w14:paraId="28DD2268" w14:textId="77777777" w:rsidR="007D36E1" w:rsidRPr="00E23EFE" w:rsidRDefault="007D36E1" w:rsidP="006A564B">
            <w:pPr>
              <w:rPr>
                <w:rFonts w:ascii="Times New Roman" w:hAnsi="Times New Roman" w:cs="Times New Roman"/>
              </w:rPr>
            </w:pPr>
            <w:r w:rsidRPr="00E23EFE">
              <w:rPr>
                <w:rFonts w:ascii="Times New Roman" w:hAnsi="Times New Roman" w:cs="Times New Roman"/>
                <w:bCs/>
              </w:rPr>
              <w:t>CNC Scandinavo-Mediterraneo</w:t>
            </w:r>
          </w:p>
        </w:tc>
        <w:tc>
          <w:tcPr>
            <w:tcW w:w="1975" w:type="dxa"/>
          </w:tcPr>
          <w:p w14:paraId="467DBAC9"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227</w:t>
            </w:r>
          </w:p>
        </w:tc>
        <w:tc>
          <w:tcPr>
            <w:tcW w:w="2608" w:type="dxa"/>
          </w:tcPr>
          <w:p w14:paraId="6073840A"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80.492,86</w:t>
            </w:r>
          </w:p>
        </w:tc>
      </w:tr>
      <w:tr w:rsidR="007D36E1" w:rsidRPr="0001085A" w14:paraId="037B4A32" w14:textId="77777777" w:rsidTr="003479AB">
        <w:trPr>
          <w:trHeight w:val="358"/>
        </w:trPr>
        <w:tc>
          <w:tcPr>
            <w:tcW w:w="5283" w:type="dxa"/>
            <w:tcBorders>
              <w:bottom w:val="single" w:sz="4" w:space="0" w:color="auto"/>
            </w:tcBorders>
            <w:vAlign w:val="center"/>
          </w:tcPr>
          <w:p w14:paraId="112D5B90" w14:textId="77777777" w:rsidR="007D36E1" w:rsidRPr="00E23EFE" w:rsidRDefault="007D36E1" w:rsidP="006A564B">
            <w:pPr>
              <w:rPr>
                <w:rFonts w:ascii="Times New Roman" w:hAnsi="Times New Roman" w:cs="Times New Roman"/>
              </w:rPr>
            </w:pPr>
            <w:r w:rsidRPr="00E23EFE">
              <w:rPr>
                <w:rFonts w:ascii="Times New Roman" w:hAnsi="Times New Roman" w:cs="Times New Roman"/>
                <w:bCs/>
              </w:rPr>
              <w:t>CNC Reno-Alpi</w:t>
            </w:r>
          </w:p>
        </w:tc>
        <w:tc>
          <w:tcPr>
            <w:tcW w:w="1975" w:type="dxa"/>
            <w:tcBorders>
              <w:bottom w:val="single" w:sz="4" w:space="0" w:color="auto"/>
            </w:tcBorders>
          </w:tcPr>
          <w:p w14:paraId="141E4F73"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66</w:t>
            </w:r>
          </w:p>
        </w:tc>
        <w:tc>
          <w:tcPr>
            <w:tcW w:w="2608" w:type="dxa"/>
            <w:tcBorders>
              <w:bottom w:val="single" w:sz="4" w:space="0" w:color="auto"/>
            </w:tcBorders>
          </w:tcPr>
          <w:p w14:paraId="69DAA1BA" w14:textId="77777777" w:rsidR="007D36E1" w:rsidRPr="00E23EFE" w:rsidRDefault="007D36E1" w:rsidP="006A564B">
            <w:pPr>
              <w:jc w:val="center"/>
              <w:rPr>
                <w:rFonts w:ascii="Times New Roman" w:hAnsi="Times New Roman" w:cs="Times New Roman"/>
              </w:rPr>
            </w:pPr>
            <w:r w:rsidRPr="00E23EFE">
              <w:rPr>
                <w:rFonts w:ascii="Times New Roman" w:hAnsi="Times New Roman" w:cs="Times New Roman"/>
              </w:rPr>
              <w:t>21.741,79</w:t>
            </w:r>
          </w:p>
        </w:tc>
      </w:tr>
    </w:tbl>
    <w:p w14:paraId="2BDA09AD" w14:textId="77777777" w:rsidR="007D36E1" w:rsidRDefault="007D36E1" w:rsidP="003479AB">
      <w:pPr>
        <w:pStyle w:val="Paragrafoelenco"/>
        <w:ind w:left="0"/>
        <w:rPr>
          <w:color w:val="auto"/>
          <w:sz w:val="18"/>
          <w:szCs w:val="18"/>
        </w:rPr>
      </w:pPr>
      <w:r w:rsidRPr="00AF4434">
        <w:rPr>
          <w:i/>
          <w:color w:val="auto"/>
          <w:sz w:val="18"/>
          <w:szCs w:val="18"/>
        </w:rPr>
        <w:t>Fonte:</w:t>
      </w:r>
      <w:r w:rsidRPr="00AF4434">
        <w:rPr>
          <w:color w:val="auto"/>
          <w:sz w:val="18"/>
          <w:szCs w:val="18"/>
        </w:rPr>
        <w:t xml:space="preserve"> Liste di corridoio 20191107_UFT_LOCK_PL08112019_MS_</w:t>
      </w:r>
      <w:proofErr w:type="gramStart"/>
      <w:r w:rsidRPr="00AF4434">
        <w:rPr>
          <w:color w:val="auto"/>
          <w:sz w:val="18"/>
          <w:szCs w:val="18"/>
        </w:rPr>
        <w:t>MED  e</w:t>
      </w:r>
      <w:proofErr w:type="gramEnd"/>
      <w:r w:rsidRPr="00AF4434">
        <w:rPr>
          <w:color w:val="auto"/>
          <w:sz w:val="18"/>
          <w:szCs w:val="18"/>
        </w:rPr>
        <w:t xml:space="preserve"> 200522_BAC List Work Plan 2020</w:t>
      </w:r>
      <w:r w:rsidR="003479AB">
        <w:rPr>
          <w:color w:val="auto"/>
          <w:sz w:val="18"/>
          <w:szCs w:val="18"/>
        </w:rPr>
        <w:t>..</w:t>
      </w:r>
    </w:p>
    <w:p w14:paraId="66B1FD73" w14:textId="77777777" w:rsidR="003479AB" w:rsidRPr="00AF4434" w:rsidRDefault="003479AB" w:rsidP="003479AB">
      <w:pPr>
        <w:pStyle w:val="Paragrafoelenco"/>
        <w:ind w:left="0" w:firstLine="284"/>
        <w:rPr>
          <w:color w:val="auto"/>
          <w:sz w:val="18"/>
          <w:szCs w:val="18"/>
        </w:rPr>
      </w:pPr>
    </w:p>
    <w:p w14:paraId="5555092E" w14:textId="77777777" w:rsidR="009A33F3" w:rsidRPr="00B340E0" w:rsidRDefault="009A33F3" w:rsidP="007D36E1">
      <w:pPr>
        <w:jc w:val="both"/>
        <w:rPr>
          <w:highlight w:val="yellow"/>
        </w:rPr>
      </w:pPr>
    </w:p>
    <w:tbl>
      <w:tblPr>
        <w:tblStyle w:val="TableNormal1"/>
        <w:tblW w:w="103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25"/>
      </w:tblGrid>
      <w:tr w:rsidR="00D65C93" w:rsidRPr="00C279A7" w14:paraId="688E1771" w14:textId="77777777" w:rsidTr="007B65D7">
        <w:trPr>
          <w:trHeight w:val="3169"/>
        </w:trPr>
        <w:tc>
          <w:tcPr>
            <w:tcW w:w="10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bookmarkEnd w:id="0"/>
          <w:p w14:paraId="3A4E12D6" w14:textId="77777777" w:rsidR="00950DE0" w:rsidRPr="00D65C93" w:rsidRDefault="00950DE0" w:rsidP="00950DE0">
            <w:pPr>
              <w:spacing w:after="120"/>
              <w:jc w:val="both"/>
              <w:rPr>
                <w:b/>
                <w:bCs/>
                <w:sz w:val="22"/>
                <w:szCs w:val="22"/>
              </w:rPr>
            </w:pPr>
            <w:r w:rsidRPr="00D65C93">
              <w:rPr>
                <w:b/>
                <w:bCs/>
                <w:sz w:val="22"/>
                <w:szCs w:val="22"/>
              </w:rPr>
              <w:t>Box di approfondimento n. 4 “Sviluppo di soluzioni rivolte all’adozione di carburanti alternativi”</w:t>
            </w:r>
          </w:p>
          <w:p w14:paraId="60356F83" w14:textId="77777777" w:rsidR="00950DE0" w:rsidRPr="00D65C93" w:rsidRDefault="00950DE0" w:rsidP="00950DE0">
            <w:pPr>
              <w:jc w:val="both"/>
              <w:rPr>
                <w:rFonts w:cs="Times New Roman"/>
                <w:iCs/>
                <w:sz w:val="22"/>
                <w:szCs w:val="22"/>
              </w:rPr>
            </w:pPr>
            <w:r w:rsidRPr="00D65C93">
              <w:rPr>
                <w:rFonts w:cs="Times New Roman"/>
                <w:iCs/>
                <w:sz w:val="22"/>
                <w:szCs w:val="22"/>
              </w:rPr>
              <w:t>Nel settore dei trasporti uno dei punti qualificanti è rappresentato dall’utilizzo dei carburanti alternativi finalizzato alla riduzione dell’impatto ambientale.</w:t>
            </w:r>
            <w:r>
              <w:rPr>
                <w:rFonts w:cs="Times New Roman"/>
                <w:iCs/>
                <w:sz w:val="22"/>
                <w:szCs w:val="22"/>
              </w:rPr>
              <w:t xml:space="preserve"> </w:t>
            </w:r>
            <w:r w:rsidRPr="00D65C93">
              <w:rPr>
                <w:rFonts w:cs="Times New Roman"/>
                <w:iCs/>
                <w:sz w:val="22"/>
                <w:szCs w:val="22"/>
              </w:rPr>
              <w:t>L’Italia è coinvolta in numerosi progetti che prevedono soluzioni alternative per il trasporto a lungo raggio di merci e per la mobilità delle persone. In particolare, nel corso dell’attuale programmazione 2014-2020 del CEF sono stati finanziati 17 progetti, che vedono la presenza di beneficiari italiani con inizia</w:t>
            </w:r>
            <w:r>
              <w:rPr>
                <w:rFonts w:cs="Times New Roman"/>
                <w:iCs/>
                <w:sz w:val="22"/>
                <w:szCs w:val="22"/>
              </w:rPr>
              <w:t xml:space="preserve">tive su territorio nazionale, </w:t>
            </w:r>
            <w:r w:rsidRPr="00D65C93">
              <w:rPr>
                <w:rFonts w:cs="Times New Roman"/>
                <w:iCs/>
                <w:sz w:val="22"/>
                <w:szCs w:val="22"/>
              </w:rPr>
              <w:t xml:space="preserve">che assorbono un contributo europeo, diretto a soggetti sia pubblici che privati, per circa 81 milioni di euro con un importo di investimento complessivo per la parte italiana pari a circa 319 milioni di euro. Per completezza, ad essi si aggiungono </w:t>
            </w:r>
            <w:proofErr w:type="gramStart"/>
            <w:r w:rsidRPr="00D65C93">
              <w:rPr>
                <w:rFonts w:cs="Times New Roman"/>
                <w:iCs/>
                <w:sz w:val="22"/>
                <w:szCs w:val="22"/>
              </w:rPr>
              <w:t>6</w:t>
            </w:r>
            <w:proofErr w:type="gramEnd"/>
            <w:r w:rsidRPr="00D65C93">
              <w:rPr>
                <w:rFonts w:cs="Times New Roman"/>
                <w:iCs/>
                <w:sz w:val="22"/>
                <w:szCs w:val="22"/>
              </w:rPr>
              <w:t xml:space="preserve"> ulteriori progetti in cui non figurano beneficiari italiani ma che sono realizzati anche sul territorio italiano o con beneficiari italiani senza interventi sul territorio nazionale.</w:t>
            </w:r>
            <w:r>
              <w:rPr>
                <w:rFonts w:cs="Times New Roman"/>
                <w:iCs/>
                <w:sz w:val="22"/>
                <w:szCs w:val="22"/>
              </w:rPr>
              <w:t xml:space="preserve"> </w:t>
            </w:r>
            <w:r w:rsidRPr="00D65C93">
              <w:rPr>
                <w:rFonts w:cs="Times New Roman"/>
                <w:iCs/>
                <w:sz w:val="22"/>
                <w:szCs w:val="22"/>
              </w:rPr>
              <w:t>L’analisi di dettaglio viene pertanto fornita esclusivamente per i 17 progetti con beneficiari italiani con iniziative su territorio nazionale.</w:t>
            </w:r>
          </w:p>
          <w:p w14:paraId="7D03D146" w14:textId="77777777" w:rsidR="00950DE0" w:rsidRPr="00D65C93" w:rsidRDefault="00950DE0" w:rsidP="00950DE0">
            <w:pPr>
              <w:jc w:val="both"/>
              <w:rPr>
                <w:rFonts w:cs="Times New Roman"/>
                <w:iCs/>
                <w:sz w:val="22"/>
                <w:szCs w:val="22"/>
              </w:rPr>
            </w:pPr>
            <w:r w:rsidRPr="00D65C93">
              <w:rPr>
                <w:rFonts w:cs="Times New Roman"/>
                <w:iCs/>
                <w:sz w:val="22"/>
                <w:szCs w:val="22"/>
              </w:rPr>
              <w:t xml:space="preserve">Per quanto attiene alla mobilità elettrica, sono presenti </w:t>
            </w:r>
            <w:proofErr w:type="gramStart"/>
            <w:r w:rsidRPr="00D65C93">
              <w:rPr>
                <w:rFonts w:cs="Times New Roman"/>
                <w:iCs/>
                <w:sz w:val="22"/>
                <w:szCs w:val="22"/>
              </w:rPr>
              <w:t>5</w:t>
            </w:r>
            <w:proofErr w:type="gramEnd"/>
            <w:r w:rsidRPr="00D65C93">
              <w:rPr>
                <w:rFonts w:cs="Times New Roman"/>
                <w:iCs/>
                <w:sz w:val="22"/>
                <w:szCs w:val="22"/>
              </w:rPr>
              <w:t xml:space="preserve"> progetti che prevedono quanto segue:</w:t>
            </w:r>
          </w:p>
          <w:p w14:paraId="16805EB9" w14:textId="77777777" w:rsidR="00950DE0" w:rsidRPr="00D65C93" w:rsidRDefault="00950DE0" w:rsidP="00950DE0">
            <w:pPr>
              <w:pStyle w:val="Paragrafoelenco"/>
              <w:numPr>
                <w:ilvl w:val="0"/>
                <w:numId w:val="35"/>
              </w:numPr>
              <w:ind w:left="318" w:hanging="284"/>
              <w:contextualSpacing/>
              <w:rPr>
                <w:iCs/>
                <w:sz w:val="22"/>
                <w:szCs w:val="22"/>
              </w:rPr>
            </w:pPr>
            <w:r w:rsidRPr="00D65C93">
              <w:rPr>
                <w:iCs/>
                <w:sz w:val="22"/>
                <w:szCs w:val="22"/>
              </w:rPr>
              <w:t xml:space="preserve">la realizzazione su territorio italiano di 180 stazioni di ricarica elettrica rapida, operative nell’arco temporale 2019-2020, presso stazioni di servizio tradizionali lungo la rete </w:t>
            </w:r>
            <w:r w:rsidRPr="008F4645">
              <w:rPr>
                <w:i/>
                <w:iCs/>
                <w:sz w:val="22"/>
                <w:szCs w:val="22"/>
              </w:rPr>
              <w:t>Core</w:t>
            </w:r>
            <w:r w:rsidRPr="00D65C93">
              <w:rPr>
                <w:iCs/>
                <w:sz w:val="22"/>
                <w:szCs w:val="22"/>
              </w:rPr>
              <w:t xml:space="preserve"> in Italia, Austria e Francia;</w:t>
            </w:r>
          </w:p>
          <w:p w14:paraId="55BE8F16" w14:textId="77777777" w:rsidR="00950DE0" w:rsidRPr="00D65C93" w:rsidRDefault="00950DE0" w:rsidP="00950DE0">
            <w:pPr>
              <w:pStyle w:val="Paragrafoelenco"/>
              <w:numPr>
                <w:ilvl w:val="0"/>
                <w:numId w:val="35"/>
              </w:numPr>
              <w:ind w:left="318" w:hanging="284"/>
              <w:contextualSpacing/>
              <w:rPr>
                <w:iCs/>
                <w:sz w:val="22"/>
                <w:szCs w:val="22"/>
              </w:rPr>
            </w:pPr>
            <w:r w:rsidRPr="00D65C93">
              <w:rPr>
                <w:iCs/>
                <w:sz w:val="22"/>
                <w:szCs w:val="22"/>
              </w:rPr>
              <w:t>in Italia, Spagna e Francia la realizzazione di 14 stazioni di ricarica elettrica ultraveloce HPC (</w:t>
            </w:r>
            <w:r w:rsidRPr="00450E48">
              <w:rPr>
                <w:i/>
                <w:iCs/>
                <w:sz w:val="22"/>
                <w:szCs w:val="22"/>
              </w:rPr>
              <w:t xml:space="preserve">High Power </w:t>
            </w:r>
            <w:proofErr w:type="spellStart"/>
            <w:r w:rsidRPr="00450E48">
              <w:rPr>
                <w:i/>
                <w:iCs/>
                <w:sz w:val="22"/>
                <w:szCs w:val="22"/>
              </w:rPr>
              <w:t>Charger</w:t>
            </w:r>
            <w:proofErr w:type="spellEnd"/>
            <w:r w:rsidRPr="00D65C93">
              <w:rPr>
                <w:iCs/>
                <w:sz w:val="22"/>
                <w:szCs w:val="22"/>
              </w:rPr>
              <w:t xml:space="preserve">) finalizzate a supportare uno standard tecnologico volto a soddisfare le esigenze del mercato ed abbassare i costi dell’infrastruttura attraverso la sinergia con altri progetti CEF </w:t>
            </w:r>
            <w:r>
              <w:rPr>
                <w:iCs/>
                <w:sz w:val="22"/>
                <w:szCs w:val="22"/>
              </w:rPr>
              <w:t>di cui 8 in territorio italiano;</w:t>
            </w:r>
          </w:p>
          <w:p w14:paraId="0A841B75" w14:textId="77777777" w:rsidR="00950DE0" w:rsidRPr="00D65C93" w:rsidRDefault="00950DE0" w:rsidP="00950DE0">
            <w:pPr>
              <w:pStyle w:val="Paragrafoelenco"/>
              <w:numPr>
                <w:ilvl w:val="0"/>
                <w:numId w:val="35"/>
              </w:numPr>
              <w:ind w:left="318" w:hanging="284"/>
              <w:contextualSpacing/>
              <w:rPr>
                <w:iCs/>
                <w:sz w:val="22"/>
                <w:szCs w:val="22"/>
              </w:rPr>
            </w:pPr>
            <w:r w:rsidRPr="00D65C93">
              <w:rPr>
                <w:iCs/>
                <w:sz w:val="22"/>
                <w:szCs w:val="22"/>
              </w:rPr>
              <w:t>ulteriori 118 stazioni HPC previste, sempre lungo la rete Core, per implementare una rete transfrontaliera con gli Stati Membri dell’Europa del centro-est (Austria, Bulgaria, Romania, Ungheria, Slovacchia, Repubblica Ceca) di cui 38 in Italia</w:t>
            </w:r>
            <w:r>
              <w:rPr>
                <w:iCs/>
                <w:sz w:val="22"/>
                <w:szCs w:val="22"/>
              </w:rPr>
              <w:t>;</w:t>
            </w:r>
          </w:p>
          <w:p w14:paraId="091E1087" w14:textId="77777777" w:rsidR="00950DE0" w:rsidRPr="00644727" w:rsidRDefault="00950DE0" w:rsidP="00950DE0">
            <w:pPr>
              <w:pStyle w:val="Paragrafoelenco"/>
              <w:numPr>
                <w:ilvl w:val="0"/>
                <w:numId w:val="35"/>
              </w:numPr>
              <w:ind w:left="318" w:hanging="284"/>
              <w:contextualSpacing/>
              <w:rPr>
                <w:iCs/>
                <w:color w:val="000000" w:themeColor="text1"/>
                <w:sz w:val="22"/>
                <w:szCs w:val="22"/>
              </w:rPr>
            </w:pPr>
            <w:r w:rsidRPr="00D65C93">
              <w:rPr>
                <w:iCs/>
                <w:sz w:val="22"/>
                <w:szCs w:val="22"/>
              </w:rPr>
              <w:t>la realizzazione di 3</w:t>
            </w:r>
            <w:r>
              <w:rPr>
                <w:iCs/>
                <w:sz w:val="22"/>
                <w:szCs w:val="22"/>
              </w:rPr>
              <w:t>.</w:t>
            </w:r>
            <w:r w:rsidRPr="00D65C93">
              <w:rPr>
                <w:iCs/>
                <w:sz w:val="22"/>
                <w:szCs w:val="22"/>
              </w:rPr>
              <w:t xml:space="preserve">169 stazioni di ricarica elettrica </w:t>
            </w:r>
            <w:proofErr w:type="spellStart"/>
            <w:r w:rsidRPr="00D65C93">
              <w:rPr>
                <w:iCs/>
                <w:sz w:val="22"/>
                <w:szCs w:val="22"/>
              </w:rPr>
              <w:t>Normal</w:t>
            </w:r>
            <w:proofErr w:type="spellEnd"/>
            <w:r w:rsidRPr="00D65C93">
              <w:rPr>
                <w:iCs/>
                <w:sz w:val="22"/>
                <w:szCs w:val="22"/>
              </w:rPr>
              <w:t xml:space="preserve">, Rapida e HPC in Italia, </w:t>
            </w:r>
            <w:r w:rsidRPr="00644727">
              <w:rPr>
                <w:iCs/>
                <w:color w:val="000000" w:themeColor="text1"/>
                <w:sz w:val="22"/>
                <w:szCs w:val="22"/>
              </w:rPr>
              <w:t>Spagna e Romania per promuovere la mobilità elettrica in tutta l’Unione creando una rete interoperabile di cui 1</w:t>
            </w:r>
            <w:r w:rsidR="00470BE8" w:rsidRPr="00644727">
              <w:rPr>
                <w:iCs/>
                <w:color w:val="000000" w:themeColor="text1"/>
                <w:sz w:val="22"/>
                <w:szCs w:val="22"/>
              </w:rPr>
              <w:t>.</w:t>
            </w:r>
            <w:r w:rsidRPr="00644727">
              <w:rPr>
                <w:iCs/>
                <w:color w:val="000000" w:themeColor="text1"/>
                <w:sz w:val="22"/>
                <w:szCs w:val="22"/>
              </w:rPr>
              <w:t>783 concentrate in Italia;</w:t>
            </w:r>
          </w:p>
          <w:p w14:paraId="616CC749" w14:textId="77777777" w:rsidR="00950DE0" w:rsidRPr="00D65C93" w:rsidRDefault="00950DE0" w:rsidP="00950DE0">
            <w:pPr>
              <w:pStyle w:val="Paragrafoelenco"/>
              <w:numPr>
                <w:ilvl w:val="0"/>
                <w:numId w:val="35"/>
              </w:numPr>
              <w:ind w:left="318" w:hanging="284"/>
              <w:contextualSpacing/>
              <w:rPr>
                <w:iCs/>
                <w:sz w:val="22"/>
                <w:szCs w:val="22"/>
              </w:rPr>
            </w:pPr>
            <w:r w:rsidRPr="00D65C93">
              <w:rPr>
                <w:iCs/>
                <w:sz w:val="22"/>
                <w:szCs w:val="22"/>
              </w:rPr>
              <w:t>altre 38 stazioni di ricarica elettrica veloci ed interoperabili per i servizi di mobilità intra-europei previste lungo l’asse Gran Bret</w:t>
            </w:r>
            <w:r>
              <w:rPr>
                <w:iCs/>
                <w:sz w:val="22"/>
                <w:szCs w:val="22"/>
              </w:rPr>
              <w:t>agna-Genova, di cui 5 in Italia;</w:t>
            </w:r>
          </w:p>
          <w:p w14:paraId="252616DC" w14:textId="77777777" w:rsidR="00950DE0" w:rsidRPr="00D65C93" w:rsidRDefault="00950DE0" w:rsidP="00950DE0">
            <w:pPr>
              <w:jc w:val="both"/>
              <w:rPr>
                <w:rFonts w:cs="Times New Roman"/>
                <w:iCs/>
                <w:sz w:val="22"/>
                <w:szCs w:val="22"/>
              </w:rPr>
            </w:pPr>
            <w:r w:rsidRPr="00D65C93">
              <w:rPr>
                <w:rFonts w:cs="Times New Roman"/>
                <w:iCs/>
                <w:sz w:val="22"/>
                <w:szCs w:val="22"/>
              </w:rPr>
              <w:t xml:space="preserve">Per quanto attiene all’utilizzo dell’idrogeno, è in corso un progetto finalizzato alla realizzazione di </w:t>
            </w:r>
            <w:proofErr w:type="gramStart"/>
            <w:r w:rsidRPr="00D65C93">
              <w:rPr>
                <w:rFonts w:cs="Times New Roman"/>
                <w:iCs/>
                <w:sz w:val="22"/>
                <w:szCs w:val="22"/>
              </w:rPr>
              <w:t>4</w:t>
            </w:r>
            <w:proofErr w:type="gramEnd"/>
            <w:r w:rsidRPr="00D65C93">
              <w:rPr>
                <w:rFonts w:cs="Times New Roman"/>
                <w:iCs/>
                <w:sz w:val="22"/>
                <w:szCs w:val="22"/>
              </w:rPr>
              <w:t xml:space="preserve"> stazioni pilota di rifornimento in Italia, Germania, Olanda e Gran Bretagna.</w:t>
            </w:r>
          </w:p>
          <w:p w14:paraId="4147B982" w14:textId="77777777" w:rsidR="00950DE0" w:rsidRPr="00D65C93" w:rsidRDefault="00950DE0" w:rsidP="00950DE0">
            <w:pPr>
              <w:jc w:val="both"/>
              <w:rPr>
                <w:rFonts w:cs="Times New Roman"/>
                <w:iCs/>
                <w:sz w:val="22"/>
                <w:szCs w:val="22"/>
              </w:rPr>
            </w:pPr>
            <w:r w:rsidRPr="00D65C93">
              <w:rPr>
                <w:rFonts w:cs="Times New Roman"/>
                <w:iCs/>
                <w:sz w:val="22"/>
                <w:szCs w:val="22"/>
              </w:rPr>
              <w:lastRenderedPageBreak/>
              <w:t xml:space="preserve">Per ciò che riguarda l’uso del GNL (Gas Naturale Liquefatto), sono in corso 3 progetti che si rivolgono alla realizzazione di stazioni di ricarica </w:t>
            </w:r>
            <w:proofErr w:type="gramStart"/>
            <w:r w:rsidRPr="00D65C93">
              <w:rPr>
                <w:rFonts w:cs="Times New Roman"/>
                <w:iCs/>
                <w:sz w:val="22"/>
                <w:szCs w:val="22"/>
              </w:rPr>
              <w:t>multi-prodotto</w:t>
            </w:r>
            <w:proofErr w:type="gramEnd"/>
            <w:r w:rsidRPr="00D65C93">
              <w:rPr>
                <w:rFonts w:cs="Times New Roman"/>
                <w:iCs/>
                <w:sz w:val="22"/>
                <w:szCs w:val="22"/>
              </w:rPr>
              <w:t xml:space="preserve"> o studi con azioni pilota che prevedono, rispettivamente, la realizzazione di:</w:t>
            </w:r>
          </w:p>
          <w:p w14:paraId="77A483EB" w14:textId="77777777" w:rsidR="00950DE0" w:rsidRPr="00D65C93" w:rsidRDefault="00950DE0" w:rsidP="00950DE0">
            <w:pPr>
              <w:pStyle w:val="Paragrafoelenco"/>
              <w:numPr>
                <w:ilvl w:val="0"/>
                <w:numId w:val="35"/>
              </w:numPr>
              <w:ind w:left="318" w:hanging="284"/>
              <w:contextualSpacing/>
              <w:rPr>
                <w:iCs/>
                <w:sz w:val="22"/>
                <w:szCs w:val="22"/>
              </w:rPr>
            </w:pPr>
            <w:r w:rsidRPr="00D65C93">
              <w:rPr>
                <w:iCs/>
                <w:sz w:val="22"/>
                <w:szCs w:val="22"/>
              </w:rPr>
              <w:t xml:space="preserve">32 stazioni </w:t>
            </w:r>
            <w:r>
              <w:rPr>
                <w:iCs/>
                <w:sz w:val="22"/>
                <w:szCs w:val="22"/>
              </w:rPr>
              <w:t>GNC (Gas Naturale Compresso), 5 GNL e 31 di ricarica e</w:t>
            </w:r>
            <w:r w:rsidRPr="00D65C93">
              <w:rPr>
                <w:iCs/>
                <w:sz w:val="22"/>
                <w:szCs w:val="22"/>
              </w:rPr>
              <w:t>lettrica rapida lungo la rete</w:t>
            </w:r>
            <w:r w:rsidRPr="008F4645">
              <w:rPr>
                <w:i/>
                <w:iCs/>
                <w:sz w:val="22"/>
                <w:szCs w:val="22"/>
              </w:rPr>
              <w:t xml:space="preserve"> Core</w:t>
            </w:r>
            <w:r>
              <w:rPr>
                <w:iCs/>
                <w:sz w:val="22"/>
                <w:szCs w:val="22"/>
              </w:rPr>
              <w:t xml:space="preserve"> in Italia finalizzate</w:t>
            </w:r>
            <w:r w:rsidRPr="00D65C93">
              <w:rPr>
                <w:iCs/>
                <w:sz w:val="22"/>
                <w:szCs w:val="22"/>
              </w:rPr>
              <w:t xml:space="preserve"> all’implementazione di un sistema di trasporto efficiente che promuova effettivamente la decarboni</w:t>
            </w:r>
            <w:r>
              <w:rPr>
                <w:iCs/>
                <w:sz w:val="22"/>
                <w:szCs w:val="22"/>
              </w:rPr>
              <w:t>zzazione del trasporto stradale;</w:t>
            </w:r>
          </w:p>
          <w:p w14:paraId="7D65CA73" w14:textId="77777777" w:rsidR="00950DE0" w:rsidRPr="00D65C93" w:rsidRDefault="00950DE0" w:rsidP="00950DE0">
            <w:pPr>
              <w:pStyle w:val="Paragrafoelenco"/>
              <w:numPr>
                <w:ilvl w:val="0"/>
                <w:numId w:val="35"/>
              </w:numPr>
              <w:ind w:left="318" w:hanging="284"/>
              <w:contextualSpacing/>
              <w:rPr>
                <w:iCs/>
                <w:sz w:val="22"/>
                <w:szCs w:val="22"/>
              </w:rPr>
            </w:pPr>
            <w:r w:rsidRPr="00D65C93">
              <w:rPr>
                <w:iCs/>
                <w:sz w:val="22"/>
                <w:szCs w:val="22"/>
              </w:rPr>
              <w:t xml:space="preserve">5 stazioni </w:t>
            </w:r>
            <w:proofErr w:type="gramStart"/>
            <w:r w:rsidRPr="00D65C93">
              <w:rPr>
                <w:iCs/>
                <w:sz w:val="22"/>
                <w:szCs w:val="22"/>
              </w:rPr>
              <w:t>multi-</w:t>
            </w:r>
            <w:proofErr w:type="spellStart"/>
            <w:r w:rsidRPr="00D65C93">
              <w:rPr>
                <w:iCs/>
                <w:sz w:val="22"/>
                <w:szCs w:val="22"/>
              </w:rPr>
              <w:t>fuel</w:t>
            </w:r>
            <w:proofErr w:type="spellEnd"/>
            <w:proofErr w:type="gramEnd"/>
            <w:r w:rsidRPr="00D65C93">
              <w:rPr>
                <w:iCs/>
                <w:sz w:val="22"/>
                <w:szCs w:val="22"/>
              </w:rPr>
              <w:t xml:space="preserve"> in Francia (2) e in Germania (3) per facilitare il trasporto merci su strada a medio e lungo raggio </w:t>
            </w:r>
            <w:r>
              <w:rPr>
                <w:iCs/>
                <w:sz w:val="22"/>
                <w:szCs w:val="22"/>
              </w:rPr>
              <w:t xml:space="preserve">anche </w:t>
            </w:r>
            <w:r w:rsidRPr="00D65C93">
              <w:rPr>
                <w:iCs/>
                <w:sz w:val="22"/>
                <w:szCs w:val="22"/>
              </w:rPr>
              <w:t xml:space="preserve">attraverso i camion alimentati a </w:t>
            </w:r>
            <w:r>
              <w:rPr>
                <w:iCs/>
                <w:sz w:val="22"/>
                <w:szCs w:val="22"/>
              </w:rPr>
              <w:t>GNL</w:t>
            </w:r>
            <w:r w:rsidRPr="00D65C93">
              <w:rPr>
                <w:iCs/>
                <w:sz w:val="22"/>
                <w:szCs w:val="22"/>
              </w:rPr>
              <w:t xml:space="preserve"> per la raccolta e analisi dati nell’ambito dell’esercizio live; </w:t>
            </w:r>
          </w:p>
          <w:p w14:paraId="45149630" w14:textId="77777777" w:rsidR="00950DE0" w:rsidRPr="00D65C93" w:rsidRDefault="00950DE0" w:rsidP="00950DE0">
            <w:pPr>
              <w:pStyle w:val="Paragrafoelenco"/>
              <w:numPr>
                <w:ilvl w:val="0"/>
                <w:numId w:val="35"/>
              </w:numPr>
              <w:ind w:left="318" w:hanging="284"/>
              <w:contextualSpacing/>
              <w:rPr>
                <w:iCs/>
                <w:sz w:val="22"/>
                <w:szCs w:val="22"/>
              </w:rPr>
            </w:pPr>
            <w:proofErr w:type="gramStart"/>
            <w:r w:rsidRPr="00D65C93">
              <w:rPr>
                <w:iCs/>
                <w:sz w:val="22"/>
                <w:szCs w:val="22"/>
              </w:rPr>
              <w:t>9</w:t>
            </w:r>
            <w:proofErr w:type="gramEnd"/>
            <w:r w:rsidRPr="00D65C93">
              <w:rPr>
                <w:iCs/>
                <w:sz w:val="22"/>
                <w:szCs w:val="22"/>
              </w:rPr>
              <w:t xml:space="preserve"> stazioni di ricarica GNL/</w:t>
            </w:r>
            <w:r>
              <w:rPr>
                <w:iCs/>
                <w:sz w:val="22"/>
                <w:szCs w:val="22"/>
              </w:rPr>
              <w:t>GNC</w:t>
            </w:r>
            <w:r w:rsidRPr="00D65C93">
              <w:rPr>
                <w:iCs/>
                <w:sz w:val="22"/>
                <w:szCs w:val="22"/>
              </w:rPr>
              <w:t xml:space="preserve"> sempre lungo la </w:t>
            </w:r>
            <w:r>
              <w:rPr>
                <w:iCs/>
                <w:sz w:val="22"/>
                <w:szCs w:val="22"/>
              </w:rPr>
              <w:t>rete centrale.</w:t>
            </w:r>
          </w:p>
          <w:p w14:paraId="41D28561" w14:textId="77777777" w:rsidR="00950DE0" w:rsidRPr="00D65C93" w:rsidRDefault="00950DE0" w:rsidP="00950DE0">
            <w:pPr>
              <w:jc w:val="both"/>
              <w:rPr>
                <w:rFonts w:cs="Times New Roman"/>
                <w:iCs/>
                <w:sz w:val="22"/>
                <w:szCs w:val="22"/>
              </w:rPr>
            </w:pPr>
            <w:r w:rsidRPr="00D65C93">
              <w:rPr>
                <w:rFonts w:cs="Times New Roman"/>
                <w:iCs/>
                <w:sz w:val="22"/>
                <w:szCs w:val="22"/>
              </w:rPr>
              <w:t xml:space="preserve">Nel settore marittimo, 7 progetti sono focalizzati sullo sviluppo di infrastrutture per l’uso di GNL. Gli orientamenti generali a livello internazionale ed europeo, nonché le modifiche normative intervenute negli ultimi anni in materia di riduzione delle emissioni inquinanti nel settore dei trasporti, hanno contribuito a stimolare l’interesse degli </w:t>
            </w:r>
            <w:r w:rsidRPr="00450E48">
              <w:rPr>
                <w:rFonts w:cs="Times New Roman"/>
                <w:i/>
                <w:iCs/>
                <w:sz w:val="22"/>
                <w:szCs w:val="22"/>
              </w:rPr>
              <w:t>stakeholder</w:t>
            </w:r>
            <w:r w:rsidRPr="00D65C93">
              <w:rPr>
                <w:rFonts w:cs="Times New Roman"/>
                <w:iCs/>
                <w:sz w:val="22"/>
                <w:szCs w:val="22"/>
              </w:rPr>
              <w:t xml:space="preserve">. In tale scenario, è stata avviata nel 2014 l’iniziativa nazionale </w:t>
            </w:r>
            <w:r w:rsidRPr="00644727">
              <w:rPr>
                <w:rFonts w:cs="Times New Roman"/>
                <w:iCs/>
                <w:color w:val="000000" w:themeColor="text1"/>
                <w:sz w:val="22"/>
                <w:szCs w:val="22"/>
              </w:rPr>
              <w:t>denominata “GAINN Italia” promossa e coordinata dal Ministero delle Infrastrutture e dei Trasporti sotto la diretta competenza della Direzione</w:t>
            </w:r>
            <w:r w:rsidR="002040DB" w:rsidRPr="00644727">
              <w:rPr>
                <w:rFonts w:cs="Times New Roman"/>
                <w:iCs/>
                <w:color w:val="000000" w:themeColor="text1"/>
                <w:sz w:val="22"/>
                <w:szCs w:val="22"/>
              </w:rPr>
              <w:t xml:space="preserve"> G</w:t>
            </w:r>
            <w:r w:rsidRPr="00644727">
              <w:rPr>
                <w:rFonts w:cs="Times New Roman"/>
                <w:iCs/>
                <w:color w:val="000000" w:themeColor="text1"/>
                <w:sz w:val="22"/>
                <w:szCs w:val="22"/>
              </w:rPr>
              <w:t>enerale</w:t>
            </w:r>
            <w:r w:rsidR="00644727">
              <w:rPr>
                <w:rFonts w:cs="Times New Roman"/>
                <w:iCs/>
                <w:color w:val="000000" w:themeColor="text1"/>
                <w:sz w:val="22"/>
                <w:szCs w:val="22"/>
              </w:rPr>
              <w:t xml:space="preserve"> per la V</w:t>
            </w:r>
            <w:r w:rsidRPr="00644727">
              <w:rPr>
                <w:rFonts w:cs="Times New Roman"/>
                <w:iCs/>
                <w:color w:val="000000" w:themeColor="text1"/>
                <w:sz w:val="22"/>
                <w:szCs w:val="22"/>
              </w:rPr>
              <w:t>igilanza sulle</w:t>
            </w:r>
            <w:r w:rsidR="002040DB" w:rsidRPr="00644727">
              <w:rPr>
                <w:rFonts w:cs="Times New Roman"/>
                <w:iCs/>
                <w:color w:val="000000" w:themeColor="text1"/>
                <w:sz w:val="22"/>
                <w:szCs w:val="22"/>
              </w:rPr>
              <w:t xml:space="preserve"> A</w:t>
            </w:r>
            <w:r w:rsidRPr="00644727">
              <w:rPr>
                <w:rFonts w:cs="Times New Roman"/>
                <w:iCs/>
                <w:color w:val="000000" w:themeColor="text1"/>
                <w:sz w:val="22"/>
                <w:szCs w:val="22"/>
              </w:rPr>
              <w:t>utorità</w:t>
            </w:r>
            <w:r w:rsidR="00644727">
              <w:rPr>
                <w:rFonts w:cs="Times New Roman"/>
                <w:iCs/>
                <w:color w:val="000000" w:themeColor="text1"/>
                <w:sz w:val="22"/>
                <w:szCs w:val="22"/>
              </w:rPr>
              <w:t xml:space="preserve"> Portuali, le Infrastrutture Portuali ed il T</w:t>
            </w:r>
            <w:r w:rsidRPr="00644727">
              <w:rPr>
                <w:rFonts w:cs="Times New Roman"/>
                <w:iCs/>
                <w:color w:val="000000" w:themeColor="text1"/>
                <w:sz w:val="22"/>
                <w:szCs w:val="22"/>
              </w:rPr>
              <w:t>rasport</w:t>
            </w:r>
            <w:r w:rsidR="00644727">
              <w:rPr>
                <w:rFonts w:cs="Times New Roman"/>
                <w:iCs/>
                <w:color w:val="000000" w:themeColor="text1"/>
                <w:sz w:val="22"/>
                <w:szCs w:val="22"/>
              </w:rPr>
              <w:t>o Marittimo e per Vie d'Acqua I</w:t>
            </w:r>
            <w:r w:rsidRPr="00644727">
              <w:rPr>
                <w:rFonts w:cs="Times New Roman"/>
                <w:iCs/>
                <w:color w:val="000000" w:themeColor="text1"/>
                <w:sz w:val="22"/>
                <w:szCs w:val="22"/>
              </w:rPr>
              <w:t xml:space="preserve">nterne, con l’obiettivo di sviluppare, in maniera coordinata e sinergica, infrastrutture e servizi dedicati alla promozione dell’utilizzo dei carburanti alternativi nel settore dei trasporti, particolarmente sull’uso del GNL. </w:t>
            </w:r>
            <w:r w:rsidRPr="00D65C93">
              <w:rPr>
                <w:rFonts w:cs="Times New Roman"/>
                <w:iCs/>
                <w:sz w:val="22"/>
                <w:szCs w:val="22"/>
              </w:rPr>
              <w:t xml:space="preserve">Dei 7 progetti, 5 sono afferenti all’iniziativa GAINN e riguardano la ricerca di soluzioni sostenibili per l’adozione del GNL nel settore portuale, studi ed azioni pilota per implementare terminal di approvvigionamento stoccaggio e bunkeraggio, lavori infrastrutturali nell’interporto di Padova, realizzazione di 4 stazioni di rifornimento navi, sviluppo di due strutture multimodali per i porti di Venezia e Livorno. </w:t>
            </w:r>
          </w:p>
          <w:p w14:paraId="4453C131" w14:textId="77777777" w:rsidR="00950DE0" w:rsidRPr="00D65C93" w:rsidRDefault="00950DE0" w:rsidP="00950DE0">
            <w:pPr>
              <w:jc w:val="both"/>
              <w:rPr>
                <w:rFonts w:cs="Times New Roman"/>
                <w:iCs/>
                <w:sz w:val="22"/>
                <w:szCs w:val="22"/>
              </w:rPr>
            </w:pPr>
            <w:r w:rsidRPr="00D65C93">
              <w:rPr>
                <w:rFonts w:cs="Times New Roman"/>
                <w:iCs/>
                <w:sz w:val="22"/>
                <w:szCs w:val="22"/>
              </w:rPr>
              <w:t>A questi progetti si aggiungono il progetto “</w:t>
            </w:r>
            <w:proofErr w:type="spellStart"/>
            <w:r w:rsidRPr="00D65C93">
              <w:rPr>
                <w:rFonts w:cs="Times New Roman"/>
                <w:iCs/>
                <w:sz w:val="22"/>
                <w:szCs w:val="22"/>
              </w:rPr>
              <w:t>Poseidon</w:t>
            </w:r>
            <w:proofErr w:type="spellEnd"/>
            <w:r w:rsidRPr="00D65C93">
              <w:rPr>
                <w:rFonts w:cs="Times New Roman"/>
                <w:iCs/>
                <w:sz w:val="22"/>
                <w:szCs w:val="22"/>
              </w:rPr>
              <w:t xml:space="preserve"> </w:t>
            </w:r>
            <w:proofErr w:type="spellStart"/>
            <w:r w:rsidRPr="00D65C93">
              <w:rPr>
                <w:rFonts w:cs="Times New Roman"/>
                <w:iCs/>
                <w:sz w:val="22"/>
                <w:szCs w:val="22"/>
              </w:rPr>
              <w:t>Med</w:t>
            </w:r>
            <w:proofErr w:type="spellEnd"/>
            <w:r w:rsidRPr="00D65C93">
              <w:rPr>
                <w:rFonts w:cs="Times New Roman"/>
                <w:iCs/>
                <w:sz w:val="22"/>
                <w:szCs w:val="22"/>
              </w:rPr>
              <w:t xml:space="preserve"> II” rivolto alla realizzazione di un sistema completo lungo l’Adriatico per sostenere l’uso del GNL (contesto normativo, terminal, navi, strumenti finanziari) ed il progetto “</w:t>
            </w:r>
            <w:proofErr w:type="spellStart"/>
            <w:r w:rsidRPr="00D65C93">
              <w:rPr>
                <w:rFonts w:cs="Times New Roman"/>
                <w:iCs/>
                <w:sz w:val="22"/>
                <w:szCs w:val="22"/>
              </w:rPr>
              <w:t>Venice</w:t>
            </w:r>
            <w:proofErr w:type="spellEnd"/>
            <w:r w:rsidRPr="00D65C93">
              <w:rPr>
                <w:rFonts w:cs="Times New Roman"/>
                <w:iCs/>
                <w:sz w:val="22"/>
                <w:szCs w:val="22"/>
              </w:rPr>
              <w:t xml:space="preserve"> LNG” per l’implementazione di un impianto multimodale nell’area di Venezia.</w:t>
            </w:r>
          </w:p>
          <w:p w14:paraId="5C273E4E" w14:textId="77777777" w:rsidR="00D65C93" w:rsidRPr="00D65C93" w:rsidRDefault="00950DE0" w:rsidP="00950DE0">
            <w:pPr>
              <w:jc w:val="both"/>
              <w:rPr>
                <w:rFonts w:cs="Times New Roman"/>
                <w:iCs/>
                <w:sz w:val="22"/>
                <w:szCs w:val="22"/>
              </w:rPr>
            </w:pPr>
            <w:r w:rsidRPr="00D65C93">
              <w:rPr>
                <w:rFonts w:cs="Times New Roman"/>
                <w:iCs/>
                <w:sz w:val="22"/>
                <w:szCs w:val="22"/>
              </w:rPr>
              <w:t xml:space="preserve">In aggiunta, un ultimo progetto mira </w:t>
            </w:r>
            <w:proofErr w:type="gramStart"/>
            <w:r w:rsidRPr="00D65C93">
              <w:rPr>
                <w:rFonts w:cs="Times New Roman"/>
                <w:iCs/>
                <w:sz w:val="22"/>
                <w:szCs w:val="22"/>
              </w:rPr>
              <w:t>ad</w:t>
            </w:r>
            <w:proofErr w:type="gramEnd"/>
            <w:r w:rsidRPr="00D65C93">
              <w:rPr>
                <w:rFonts w:cs="Times New Roman"/>
                <w:iCs/>
                <w:sz w:val="22"/>
                <w:szCs w:val="22"/>
              </w:rPr>
              <w:t xml:space="preserve"> identificare soluzioni innovative intelligenti a supporto della sostenibilità ambientale nei porti.</w:t>
            </w:r>
          </w:p>
        </w:tc>
      </w:tr>
    </w:tbl>
    <w:p w14:paraId="2E26337A" w14:textId="77777777" w:rsidR="00641BD9" w:rsidRDefault="00641BD9" w:rsidP="00F44E23">
      <w:pPr>
        <w:pStyle w:val="Paragrafoelenco"/>
        <w:ind w:left="0"/>
      </w:pPr>
    </w:p>
    <w:p w14:paraId="0A91989B" w14:textId="77777777" w:rsidR="006C5AEC" w:rsidRDefault="006C5AEC" w:rsidP="00F44E23">
      <w:pPr>
        <w:pStyle w:val="Paragrafoelenco"/>
        <w:ind w:left="0"/>
      </w:pPr>
    </w:p>
    <w:p w14:paraId="0E981827" w14:textId="77777777" w:rsidR="00385BD4" w:rsidRDefault="00C6166A">
      <w:pPr>
        <w:jc w:val="both"/>
        <w:rPr>
          <w:b/>
          <w:bCs/>
        </w:rPr>
      </w:pPr>
      <w:bookmarkStart w:id="1" w:name="_Hlk6591393"/>
      <w:r>
        <w:rPr>
          <w:b/>
          <w:bCs/>
        </w:rPr>
        <w:t>XI.</w:t>
      </w:r>
      <w:r w:rsidR="00E562AD">
        <w:rPr>
          <w:b/>
          <w:bCs/>
        </w:rPr>
        <w:t>3</w:t>
      </w:r>
      <w:bookmarkEnd w:id="1"/>
      <w:r>
        <w:rPr>
          <w:b/>
          <w:bCs/>
        </w:rPr>
        <w:t xml:space="preserve"> </w:t>
      </w:r>
      <w:r w:rsidR="00641BD9">
        <w:rPr>
          <w:b/>
          <w:bCs/>
        </w:rPr>
        <w:t>-</w:t>
      </w:r>
      <w:r>
        <w:rPr>
          <w:b/>
          <w:bCs/>
        </w:rPr>
        <w:t xml:space="preserve"> </w:t>
      </w:r>
      <w:r w:rsidR="00641BD9">
        <w:rPr>
          <w:b/>
          <w:bCs/>
        </w:rPr>
        <w:t>E</w:t>
      </w:r>
      <w:r>
        <w:rPr>
          <w:b/>
          <w:bCs/>
        </w:rPr>
        <w:t>stensione dell</w:t>
      </w:r>
      <w:r w:rsidR="00E562AD">
        <w:rPr>
          <w:b/>
          <w:bCs/>
        </w:rPr>
        <w:t>e</w:t>
      </w:r>
      <w:r>
        <w:rPr>
          <w:b/>
          <w:bCs/>
        </w:rPr>
        <w:t xml:space="preserve"> Ret</w:t>
      </w:r>
      <w:r w:rsidR="00E562AD">
        <w:rPr>
          <w:b/>
          <w:bCs/>
        </w:rPr>
        <w:t>i</w:t>
      </w:r>
      <w:r>
        <w:rPr>
          <w:b/>
          <w:bCs/>
        </w:rPr>
        <w:t xml:space="preserve"> </w:t>
      </w:r>
      <w:r w:rsidR="006C4718">
        <w:rPr>
          <w:b/>
          <w:bCs/>
        </w:rPr>
        <w:t>TEN-T</w:t>
      </w:r>
      <w:r w:rsidR="00641BD9">
        <w:rPr>
          <w:b/>
          <w:bCs/>
        </w:rPr>
        <w:t xml:space="preserve"> ai </w:t>
      </w:r>
      <w:r w:rsidR="00F25599">
        <w:rPr>
          <w:b/>
          <w:bCs/>
        </w:rPr>
        <w:t>Paesi</w:t>
      </w:r>
      <w:r w:rsidR="00D93A7C">
        <w:rPr>
          <w:b/>
          <w:bCs/>
        </w:rPr>
        <w:t xml:space="preserve"> limitrofi e </w:t>
      </w:r>
      <w:r>
        <w:rPr>
          <w:b/>
          <w:bCs/>
        </w:rPr>
        <w:t xml:space="preserve">iniziative </w:t>
      </w:r>
      <w:r w:rsidR="002F1B93">
        <w:rPr>
          <w:b/>
          <w:bCs/>
        </w:rPr>
        <w:t>oltre i confini dell’</w:t>
      </w:r>
      <w:r w:rsidR="00E562AD">
        <w:rPr>
          <w:b/>
          <w:bCs/>
        </w:rPr>
        <w:t>UE</w:t>
      </w:r>
      <w:r w:rsidR="00343FB0">
        <w:rPr>
          <w:b/>
          <w:bCs/>
        </w:rPr>
        <w:t xml:space="preserve"> </w:t>
      </w:r>
    </w:p>
    <w:p w14:paraId="7BE3393A" w14:textId="77777777" w:rsidR="00641BD9" w:rsidRDefault="00641BD9">
      <w:pPr>
        <w:jc w:val="both"/>
        <w:rPr>
          <w:b/>
          <w:bCs/>
        </w:rPr>
      </w:pPr>
    </w:p>
    <w:p w14:paraId="57175497" w14:textId="77777777" w:rsidR="00F4097D" w:rsidRDefault="00594FCD" w:rsidP="00F6434E">
      <w:pPr>
        <w:pStyle w:val="Paragrafoelenco"/>
        <w:ind w:left="0"/>
      </w:pPr>
      <w:r>
        <w:tab/>
      </w:r>
      <w:r w:rsidR="00F4097D">
        <w:t xml:space="preserve">Il Regolamento (UE) n. 1315/2013 prevede la possibilità di aggiungere mappe indicative della </w:t>
      </w:r>
      <w:r w:rsidR="00B90D76">
        <w:t>Rete Transeuropea</w:t>
      </w:r>
      <w:r w:rsidR="00F4097D">
        <w:t xml:space="preserve"> de</w:t>
      </w:r>
      <w:r w:rsidR="00641BD9">
        <w:t>i trasporti</w:t>
      </w:r>
      <w:r w:rsidR="005258E8">
        <w:t>,</w:t>
      </w:r>
      <w:r w:rsidR="00641BD9">
        <w:t xml:space="preserve"> estese a specifici </w:t>
      </w:r>
      <w:r w:rsidR="00F25599">
        <w:t>Paesi</w:t>
      </w:r>
      <w:r w:rsidR="00F4097D">
        <w:t xml:space="preserve"> terzi limitrofi, in base ad accordi di alto livello in materia di reti delle infrastrutture di traspo</w:t>
      </w:r>
      <w:r w:rsidR="00641BD9">
        <w:t xml:space="preserve">rto, conclusi tra l'Unione e i </w:t>
      </w:r>
      <w:r w:rsidR="00F25599">
        <w:t>Paesi</w:t>
      </w:r>
      <w:r w:rsidR="00F4097D">
        <w:t xml:space="preserve"> limitrofi interessati. </w:t>
      </w:r>
      <w:proofErr w:type="gramStart"/>
      <w:r w:rsidR="00F4097D">
        <w:t>Pertanto</w:t>
      </w:r>
      <w:proofErr w:type="gramEnd"/>
      <w:r w:rsidR="00F4097D">
        <w:t xml:space="preserve"> in allegato al predetto Regolamento si ritrovano le mappe relative all’esten</w:t>
      </w:r>
      <w:r w:rsidR="00641BD9">
        <w:t xml:space="preserve">sione indicativa delle reti ai </w:t>
      </w:r>
      <w:r w:rsidR="00F25599">
        <w:t>Paesi</w:t>
      </w:r>
      <w:r w:rsidR="00641BD9">
        <w:t xml:space="preserve"> confinanti, ai </w:t>
      </w:r>
      <w:r w:rsidR="00F25599">
        <w:t>Paesi</w:t>
      </w:r>
      <w:r w:rsidR="00F4097D">
        <w:t xml:space="preserve"> della R</w:t>
      </w:r>
      <w:r w:rsidR="00F4097D" w:rsidRPr="00F4097D">
        <w:t>egione dei Balcani occidentali</w:t>
      </w:r>
      <w:r w:rsidR="00641BD9">
        <w:t xml:space="preserve"> e ai </w:t>
      </w:r>
      <w:r w:rsidR="00F25599">
        <w:t>Paesi</w:t>
      </w:r>
      <w:r w:rsidR="005258E8">
        <w:t xml:space="preserve"> del </w:t>
      </w:r>
      <w:r w:rsidR="006F217A">
        <w:t>Partenariato</w:t>
      </w:r>
      <w:r w:rsidR="005258E8">
        <w:t xml:space="preserve"> O</w:t>
      </w:r>
      <w:r w:rsidR="00F4097D">
        <w:t>rientale.</w:t>
      </w:r>
    </w:p>
    <w:p w14:paraId="3514FBB3" w14:textId="77777777" w:rsidR="00DF7674" w:rsidRDefault="00594FCD" w:rsidP="007B65D7">
      <w:pPr>
        <w:jc w:val="both"/>
        <w:rPr>
          <w:rFonts w:eastAsia="Times New Roman" w:cs="Times New Roman"/>
        </w:rPr>
      </w:pPr>
      <w:r>
        <w:rPr>
          <w:rFonts w:eastAsia="Times New Roman" w:cs="Times New Roman"/>
        </w:rPr>
        <w:tab/>
      </w:r>
      <w:r w:rsidR="00C1345E" w:rsidRPr="00C1345E">
        <w:rPr>
          <w:rFonts w:eastAsia="Times New Roman" w:cs="Times New Roman"/>
        </w:rPr>
        <w:t xml:space="preserve">A completamento del quadro di cooperazione con i </w:t>
      </w:r>
      <w:r w:rsidR="00F25599">
        <w:rPr>
          <w:rFonts w:eastAsia="Times New Roman" w:cs="Times New Roman"/>
        </w:rPr>
        <w:t>Paesi</w:t>
      </w:r>
      <w:r w:rsidR="00C1345E" w:rsidRPr="00C1345E">
        <w:rPr>
          <w:rFonts w:eastAsia="Times New Roman" w:cs="Times New Roman"/>
        </w:rPr>
        <w:t xml:space="preserve"> terzi va segnalato che un accordo di alto livello tra l'</w:t>
      </w:r>
      <w:r w:rsidR="00F25599">
        <w:rPr>
          <w:rFonts w:eastAsia="Times New Roman" w:cs="Times New Roman"/>
        </w:rPr>
        <w:t>Unione Europea</w:t>
      </w:r>
      <w:r w:rsidR="00C1345E" w:rsidRPr="00C1345E">
        <w:rPr>
          <w:rFonts w:eastAsia="Times New Roman" w:cs="Times New Roman"/>
        </w:rPr>
        <w:t>, la Russia e la Bielorussia è stato concluso il 21</w:t>
      </w:r>
      <w:r w:rsidR="005258E8">
        <w:rPr>
          <w:rFonts w:eastAsia="Times New Roman" w:cs="Times New Roman"/>
        </w:rPr>
        <w:t xml:space="preserve"> novembre 2012 nell'ambito del </w:t>
      </w:r>
      <w:r w:rsidR="006F217A">
        <w:rPr>
          <w:rFonts w:eastAsia="Times New Roman" w:cs="Times New Roman"/>
        </w:rPr>
        <w:t>Partenariato</w:t>
      </w:r>
      <w:r w:rsidR="00C1345E" w:rsidRPr="00C1345E">
        <w:rPr>
          <w:rFonts w:eastAsia="Times New Roman" w:cs="Times New Roman"/>
        </w:rPr>
        <w:t xml:space="preserve"> della dimensione settentrionale per il trasporto e la logistica.</w:t>
      </w:r>
    </w:p>
    <w:p w14:paraId="0108C983" w14:textId="77777777" w:rsidR="007B65D7" w:rsidRDefault="007B65D7" w:rsidP="007B65D7">
      <w:pPr>
        <w:jc w:val="both"/>
        <w:rPr>
          <w:rFonts w:eastAsia="Times New Roman" w:cs="Times New Roman"/>
        </w:rPr>
      </w:pPr>
    </w:p>
    <w:p w14:paraId="49276501" w14:textId="77777777" w:rsidR="006C5AEC" w:rsidRPr="007B65D7" w:rsidRDefault="006C5AEC" w:rsidP="007B65D7">
      <w:pPr>
        <w:jc w:val="both"/>
        <w:rPr>
          <w:rFonts w:eastAsia="Times New Roman" w:cs="Times New Roman"/>
        </w:rPr>
      </w:pPr>
    </w:p>
    <w:p w14:paraId="075ABCF9" w14:textId="77777777" w:rsidR="00DF7674" w:rsidRDefault="00345A3F" w:rsidP="006C4718">
      <w:pPr>
        <w:pStyle w:val="Paragrafoelenco"/>
        <w:ind w:left="0"/>
        <w:rPr>
          <w:b/>
          <w:bCs/>
        </w:rPr>
      </w:pPr>
      <w:r>
        <w:rPr>
          <w:b/>
          <w:bCs/>
        </w:rPr>
        <w:t xml:space="preserve">XI.3.1 - </w:t>
      </w:r>
      <w:r w:rsidR="007D7F8B" w:rsidRPr="00F6434E">
        <w:rPr>
          <w:b/>
          <w:bCs/>
        </w:rPr>
        <w:t xml:space="preserve">Estensione delle Reti TEN-T ai </w:t>
      </w:r>
      <w:r w:rsidR="00F25599">
        <w:rPr>
          <w:b/>
          <w:bCs/>
        </w:rPr>
        <w:t>Paesi</w:t>
      </w:r>
      <w:r w:rsidR="00E35664" w:rsidRPr="00F6434E">
        <w:rPr>
          <w:b/>
          <w:bCs/>
        </w:rPr>
        <w:t xml:space="preserve"> confinanti</w:t>
      </w:r>
    </w:p>
    <w:p w14:paraId="3F1040B9" w14:textId="77777777" w:rsidR="00E35664" w:rsidRPr="00DF7674" w:rsidRDefault="00E35664" w:rsidP="006C4718">
      <w:pPr>
        <w:pStyle w:val="Paragrafoelenco"/>
        <w:ind w:left="0"/>
        <w:rPr>
          <w:b/>
          <w:bCs/>
        </w:rPr>
      </w:pPr>
    </w:p>
    <w:p w14:paraId="6D8FCFBF" w14:textId="77777777" w:rsidR="00E35664" w:rsidRPr="00F6434E" w:rsidRDefault="00594FCD" w:rsidP="006C4718">
      <w:pPr>
        <w:pStyle w:val="Paragrafoelenco"/>
        <w:ind w:left="0"/>
      </w:pPr>
      <w:r>
        <w:tab/>
      </w:r>
      <w:r w:rsidR="00F4097D">
        <w:t>Come anticipato, è importante</w:t>
      </w:r>
      <w:r w:rsidR="00E35664" w:rsidRPr="00F6434E">
        <w:t xml:space="preserve"> sottolineare che sono state identificate e tracciate le mappe </w:t>
      </w:r>
      <w:r w:rsidR="00F4097D">
        <w:t xml:space="preserve">indicative </w:t>
      </w:r>
      <w:r w:rsidR="007D7F8B" w:rsidRPr="00F6434E">
        <w:t xml:space="preserve">della Rete TEN-T verso i </w:t>
      </w:r>
      <w:r w:rsidR="00F25599">
        <w:t>Paesi</w:t>
      </w:r>
      <w:r w:rsidR="00E35664" w:rsidRPr="00F6434E">
        <w:t xml:space="preserve"> confinanti </w:t>
      </w:r>
      <w:r w:rsidR="00F4097D" w:rsidRPr="00F6434E">
        <w:t xml:space="preserve">di Svizzera, Norvegia e </w:t>
      </w:r>
      <w:r w:rsidR="00F4097D">
        <w:t>Turchia</w:t>
      </w:r>
      <w:r w:rsidR="002D4FDD">
        <w:t>,</w:t>
      </w:r>
      <w:r w:rsidR="00885004">
        <w:t xml:space="preserve"> oggi presenti nell’Allegato III del </w:t>
      </w:r>
      <w:r w:rsidR="001F6BA5">
        <w:t>R</w:t>
      </w:r>
      <w:r w:rsidR="00885004">
        <w:t xml:space="preserve">egolamento </w:t>
      </w:r>
      <w:r w:rsidR="00BB60C6">
        <w:t>(</w:t>
      </w:r>
      <w:r w:rsidR="00885004">
        <w:t>UE</w:t>
      </w:r>
      <w:r w:rsidR="00BB60C6">
        <w:t>)</w:t>
      </w:r>
      <w:r w:rsidR="001F6BA5">
        <w:t xml:space="preserve"> </w:t>
      </w:r>
      <w:r w:rsidR="00885004">
        <w:t>n. 1315/</w:t>
      </w:r>
      <w:r w:rsidR="001F6BA5">
        <w:t>20</w:t>
      </w:r>
      <w:r w:rsidR="00885004">
        <w:t>13.</w:t>
      </w:r>
    </w:p>
    <w:p w14:paraId="4121CAB9" w14:textId="77777777" w:rsidR="00385BD4" w:rsidRDefault="00594FCD" w:rsidP="007B65D7">
      <w:pPr>
        <w:pStyle w:val="Paragrafoelenco"/>
        <w:ind w:left="0"/>
      </w:pPr>
      <w:r>
        <w:tab/>
      </w:r>
      <w:r w:rsidR="00885004">
        <w:t>Successivamente</w:t>
      </w:r>
      <w:r w:rsidR="00E35664" w:rsidRPr="00F6434E">
        <w:t xml:space="preserve">, </w:t>
      </w:r>
      <w:r w:rsidR="001F6BA5">
        <w:t xml:space="preserve">il </w:t>
      </w:r>
      <w:r w:rsidR="007D7F8B">
        <w:t>30 ottobre 2015, nel</w:t>
      </w:r>
      <w:r w:rsidR="0048574F">
        <w:t>l'ambito del Comitato M</w:t>
      </w:r>
      <w:r w:rsidR="007D7F8B">
        <w:t xml:space="preserve">isto istituito dall'accordo sullo Spazio economico europeo, è stato raggiunto un accordo ad alto livello tra </w:t>
      </w:r>
      <w:r w:rsidR="001F6BA5">
        <w:t>l’</w:t>
      </w:r>
      <w:r w:rsidR="00F25599">
        <w:t>Unione Europea</w:t>
      </w:r>
      <w:r w:rsidR="001F6BA5">
        <w:t>,</w:t>
      </w:r>
      <w:r w:rsidR="007D7F8B">
        <w:t xml:space="preserve"> l</w:t>
      </w:r>
      <w:r w:rsidR="001F6BA5">
        <w:t>’</w:t>
      </w:r>
      <w:r w:rsidR="007D7F8B">
        <w:t xml:space="preserve">Islanda e la Norvegia relativamente all'adattamento dell'estensione indicativa delle mappe della rete globale TEN-T in tali </w:t>
      </w:r>
      <w:r w:rsidR="00F25599">
        <w:t>Paesi</w:t>
      </w:r>
      <w:r w:rsidR="007D7F8B">
        <w:t xml:space="preserve">. </w:t>
      </w:r>
      <w:r w:rsidR="001F6BA5">
        <w:t xml:space="preserve">L’adattamento </w:t>
      </w:r>
      <w:r w:rsidR="00885004">
        <w:t xml:space="preserve">ha </w:t>
      </w:r>
      <w:r w:rsidR="007D7F8B">
        <w:t>riguarda</w:t>
      </w:r>
      <w:r w:rsidR="00885004">
        <w:t>to</w:t>
      </w:r>
      <w:r w:rsidR="007D7F8B">
        <w:t xml:space="preserve"> un numero limitato di adeguamenti delle mappe delle reti di strade, porti e aeroporti per rispecchiare con maggiore precisione </w:t>
      </w:r>
      <w:r w:rsidR="001F6BA5">
        <w:t xml:space="preserve">l’allineamento </w:t>
      </w:r>
      <w:r w:rsidR="007D7F8B">
        <w:t xml:space="preserve">della TEN-T indicativa, conformemente alla metodologia della </w:t>
      </w:r>
      <w:r w:rsidR="002D4FDD">
        <w:t>rete europea medesima</w:t>
      </w:r>
      <w:r w:rsidR="007D7F8B">
        <w:t xml:space="preserve">. </w:t>
      </w:r>
      <w:r w:rsidR="00885004">
        <w:t xml:space="preserve">Tale adattamento </w:t>
      </w:r>
      <w:r w:rsidR="00E35664" w:rsidRPr="00F6434E">
        <w:t>è stat</w:t>
      </w:r>
      <w:r w:rsidR="00885004">
        <w:t>o quindi</w:t>
      </w:r>
      <w:r w:rsidR="00E35664" w:rsidRPr="00F6434E">
        <w:t xml:space="preserve"> </w:t>
      </w:r>
      <w:r w:rsidR="001F6BA5" w:rsidRPr="00F6434E">
        <w:t>approvat</w:t>
      </w:r>
      <w:r w:rsidR="001F6BA5">
        <w:t>o</w:t>
      </w:r>
      <w:r w:rsidR="001F6BA5" w:rsidRPr="00F6434E">
        <w:t xml:space="preserve"> </w:t>
      </w:r>
      <w:r w:rsidR="00E35664" w:rsidRPr="00F6434E">
        <w:t>con Reg</w:t>
      </w:r>
      <w:r w:rsidR="00F4097D">
        <w:t>olamento</w:t>
      </w:r>
      <w:r w:rsidR="00E35664" w:rsidRPr="00F6434E">
        <w:t xml:space="preserve"> Delegato </w:t>
      </w:r>
      <w:r w:rsidR="00BB60C6">
        <w:t>(</w:t>
      </w:r>
      <w:r w:rsidR="00E35664" w:rsidRPr="00F6434E">
        <w:t>UE</w:t>
      </w:r>
      <w:r w:rsidR="00BB60C6">
        <w:t>)</w:t>
      </w:r>
      <w:r w:rsidR="001F6BA5">
        <w:t xml:space="preserve"> </w:t>
      </w:r>
      <w:r w:rsidR="0048574F">
        <w:t>n.758 del 4 f</w:t>
      </w:r>
      <w:r w:rsidR="00E35664" w:rsidRPr="00F6434E">
        <w:t>ebbraio 2016, mentre</w:t>
      </w:r>
      <w:r w:rsidR="002D4FDD">
        <w:t>, come detto,</w:t>
      </w:r>
      <w:r w:rsidR="00E35664" w:rsidRPr="00F6434E">
        <w:t xml:space="preserve"> l’Allegato III al Regolamento </w:t>
      </w:r>
      <w:r w:rsidR="00BB60C6">
        <w:t>(</w:t>
      </w:r>
      <w:r w:rsidR="00E35664" w:rsidRPr="00F6434E">
        <w:t>UE</w:t>
      </w:r>
      <w:r w:rsidR="00BB60C6">
        <w:t>)</w:t>
      </w:r>
      <w:r w:rsidR="00E35664" w:rsidRPr="00F6434E">
        <w:t xml:space="preserve"> n. 1315/2013 includeva già l’estensione</w:t>
      </w:r>
      <w:r w:rsidR="00885004">
        <w:t xml:space="preserve"> delle reti</w:t>
      </w:r>
      <w:r w:rsidR="00E35664" w:rsidRPr="00F6434E">
        <w:t xml:space="preserve"> verso la Svizzera</w:t>
      </w:r>
      <w:r w:rsidR="007D7F8B">
        <w:t xml:space="preserve"> e la Turchia.</w:t>
      </w:r>
    </w:p>
    <w:p w14:paraId="486AEA42" w14:textId="77777777" w:rsidR="00641BD9" w:rsidRDefault="00641BD9" w:rsidP="00450E48"/>
    <w:p w14:paraId="48A9B1A7" w14:textId="77777777" w:rsidR="00A0155B" w:rsidRDefault="00A0155B" w:rsidP="00450E48"/>
    <w:p w14:paraId="31113F0B" w14:textId="77777777" w:rsidR="00385BD4" w:rsidRDefault="00E562AD" w:rsidP="006C4718">
      <w:pPr>
        <w:pStyle w:val="Paragrafoelenco"/>
        <w:ind w:left="0"/>
        <w:rPr>
          <w:b/>
          <w:bCs/>
        </w:rPr>
      </w:pPr>
      <w:r>
        <w:rPr>
          <w:b/>
          <w:bCs/>
        </w:rPr>
        <w:t>XI.3.</w:t>
      </w:r>
      <w:r w:rsidR="007D7F8B">
        <w:rPr>
          <w:b/>
          <w:bCs/>
        </w:rPr>
        <w:t>2</w:t>
      </w:r>
      <w:r>
        <w:rPr>
          <w:b/>
          <w:bCs/>
        </w:rPr>
        <w:t xml:space="preserve"> - </w:t>
      </w:r>
      <w:r w:rsidR="007D7F8B" w:rsidRPr="00F6434E">
        <w:rPr>
          <w:b/>
          <w:bCs/>
        </w:rPr>
        <w:t>Estensione delle Reti TEN-T alla Regione dei</w:t>
      </w:r>
      <w:r w:rsidR="00C6166A" w:rsidRPr="00F6434E">
        <w:rPr>
          <w:b/>
          <w:bCs/>
        </w:rPr>
        <w:t xml:space="preserve"> Balcani Occidentali</w:t>
      </w:r>
    </w:p>
    <w:p w14:paraId="7DAC47A2" w14:textId="77777777" w:rsidR="00641BD9" w:rsidRDefault="00641BD9" w:rsidP="006C4718">
      <w:pPr>
        <w:pStyle w:val="Paragrafoelenco"/>
        <w:ind w:left="0"/>
      </w:pPr>
    </w:p>
    <w:p w14:paraId="55450C5C" w14:textId="77777777" w:rsidR="00385BD4" w:rsidRDefault="00641BD9" w:rsidP="006C4718">
      <w:pPr>
        <w:pStyle w:val="Paragrafoelenco"/>
        <w:ind w:left="0" w:firstLine="708"/>
      </w:pPr>
      <w:r>
        <w:lastRenderedPageBreak/>
        <w:t xml:space="preserve">Le relazioni con i </w:t>
      </w:r>
      <w:r w:rsidR="00F25599">
        <w:t>Paesi</w:t>
      </w:r>
      <w:r w:rsidR="00C6166A">
        <w:t xml:space="preserve"> </w:t>
      </w:r>
      <w:r w:rsidR="002F1B93">
        <w:t xml:space="preserve">dei </w:t>
      </w:r>
      <w:r w:rsidR="00C6166A">
        <w:t xml:space="preserve">Balcani Occidentali sono profonde e ben consolidate da oltre un decennio. L’estensione delle Reti TEN-T verso i </w:t>
      </w:r>
      <w:r w:rsidR="00F25599">
        <w:t>Paesi</w:t>
      </w:r>
      <w:r w:rsidR="00C6166A">
        <w:t xml:space="preserve"> terzi ha rappresentato il primo passo per assicurare la coerenza nella programmazione paneuropea delle infrastrutture anche al di fuori dai confini dell’</w:t>
      </w:r>
      <w:r w:rsidR="00F25599">
        <w:t>Unione Europea</w:t>
      </w:r>
      <w:r w:rsidR="00C6166A">
        <w:t xml:space="preserve"> e per facilitare l’integrazione, gli scambi economici e quelli commerciali nella </w:t>
      </w:r>
      <w:r w:rsidR="002D4FDD">
        <w:t>r</w:t>
      </w:r>
      <w:r w:rsidR="00C6166A">
        <w:t>egione</w:t>
      </w:r>
      <w:r w:rsidR="002D4FDD">
        <w:t xml:space="preserve"> balcanica</w:t>
      </w:r>
      <w:r w:rsidR="00C6166A">
        <w:t xml:space="preserve">. </w:t>
      </w:r>
    </w:p>
    <w:p w14:paraId="54F7FEA9" w14:textId="77777777" w:rsidR="00623E87" w:rsidRPr="006C5AEC" w:rsidRDefault="00C6166A" w:rsidP="00F63DA4">
      <w:pPr>
        <w:pStyle w:val="Paragrafoelenco"/>
        <w:ind w:left="0" w:firstLine="708"/>
        <w:rPr>
          <w:color w:val="auto"/>
        </w:rPr>
      </w:pPr>
      <w:r>
        <w:t xml:space="preserve">Ad oggi il </w:t>
      </w:r>
      <w:r w:rsidR="00BB60C6">
        <w:t xml:space="preserve">Regolamento (UE) </w:t>
      </w:r>
      <w:r w:rsidRPr="006C5AEC">
        <w:rPr>
          <w:color w:val="auto"/>
        </w:rPr>
        <w:t xml:space="preserve">n. 1315/2013 </w:t>
      </w:r>
      <w:r w:rsidR="00623E87" w:rsidRPr="006C5AEC">
        <w:rPr>
          <w:color w:val="auto"/>
        </w:rPr>
        <w:t xml:space="preserve">(Allegato III) </w:t>
      </w:r>
      <w:r w:rsidRPr="006C5AEC">
        <w:rPr>
          <w:color w:val="auto"/>
        </w:rPr>
        <w:t xml:space="preserve">prevede l'estensione della rete per i seguenti </w:t>
      </w:r>
      <w:r w:rsidR="00F25599" w:rsidRPr="006C5AEC">
        <w:rPr>
          <w:color w:val="auto"/>
        </w:rPr>
        <w:t>Paesi</w:t>
      </w:r>
      <w:r w:rsidR="002D4FDD" w:rsidRPr="006C5AEC">
        <w:rPr>
          <w:color w:val="auto"/>
        </w:rPr>
        <w:t xml:space="preserve"> t</w:t>
      </w:r>
      <w:r w:rsidRPr="006C5AEC">
        <w:rPr>
          <w:color w:val="auto"/>
        </w:rPr>
        <w:t>erzi:</w:t>
      </w:r>
      <w:r w:rsidR="0044165A" w:rsidRPr="006C5AEC">
        <w:rPr>
          <w:color w:val="auto"/>
        </w:rPr>
        <w:t xml:space="preserve"> </w:t>
      </w:r>
      <w:r w:rsidR="00623E87" w:rsidRPr="006C5AEC">
        <w:rPr>
          <w:color w:val="auto"/>
        </w:rPr>
        <w:t>Albania</w:t>
      </w:r>
      <w:r w:rsidR="0044165A" w:rsidRPr="006C5AEC">
        <w:rPr>
          <w:color w:val="auto"/>
        </w:rPr>
        <w:t xml:space="preserve">, </w:t>
      </w:r>
      <w:r w:rsidR="00623E87" w:rsidRPr="006C5AEC">
        <w:rPr>
          <w:color w:val="auto"/>
        </w:rPr>
        <w:t>Bosnia Erzegovina</w:t>
      </w:r>
      <w:r w:rsidR="0044165A" w:rsidRPr="006C5AEC">
        <w:rPr>
          <w:color w:val="auto"/>
        </w:rPr>
        <w:t xml:space="preserve">, </w:t>
      </w:r>
      <w:r w:rsidR="002B6644" w:rsidRPr="006C5AEC">
        <w:rPr>
          <w:color w:val="auto"/>
        </w:rPr>
        <w:t>Kosovo</w:t>
      </w:r>
      <w:r w:rsidR="0044165A" w:rsidRPr="006C5AEC">
        <w:rPr>
          <w:color w:val="auto"/>
        </w:rPr>
        <w:t xml:space="preserve">, </w:t>
      </w:r>
      <w:r w:rsidR="00623E87" w:rsidRPr="006C5AEC">
        <w:rPr>
          <w:color w:val="auto"/>
        </w:rPr>
        <w:t>Montenegro</w:t>
      </w:r>
      <w:r w:rsidR="0044165A" w:rsidRPr="006C5AEC">
        <w:rPr>
          <w:color w:val="auto"/>
        </w:rPr>
        <w:t xml:space="preserve">, </w:t>
      </w:r>
      <w:r w:rsidR="00623E87" w:rsidRPr="006C5AEC">
        <w:rPr>
          <w:color w:val="auto"/>
        </w:rPr>
        <w:t>Repubblica di Macedonia del Nord</w:t>
      </w:r>
      <w:r w:rsidR="0044165A" w:rsidRPr="006C5AEC">
        <w:rPr>
          <w:color w:val="auto"/>
        </w:rPr>
        <w:t xml:space="preserve">, </w:t>
      </w:r>
      <w:r w:rsidR="00623E87" w:rsidRPr="006C5AEC">
        <w:rPr>
          <w:color w:val="auto"/>
        </w:rPr>
        <w:t xml:space="preserve">Serbia. </w:t>
      </w:r>
    </w:p>
    <w:p w14:paraId="48F1800C" w14:textId="77777777" w:rsidR="00E65922" w:rsidRPr="006C5AEC" w:rsidRDefault="00D93A7C" w:rsidP="00F6434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Times New Roman"/>
          <w:color w:val="auto"/>
          <w:bdr w:val="none" w:sz="0" w:space="0" w:color="auto"/>
        </w:rPr>
      </w:pPr>
      <w:r w:rsidRPr="006C5AEC">
        <w:rPr>
          <w:rFonts w:eastAsia="Times New Roman" w:cs="Times New Roman"/>
          <w:color w:val="auto"/>
          <w:bdr w:val="none" w:sz="0" w:space="0" w:color="auto"/>
        </w:rPr>
        <w:tab/>
      </w:r>
      <w:r w:rsidR="00641BD9" w:rsidRPr="006C5AEC">
        <w:rPr>
          <w:rFonts w:eastAsia="Times New Roman" w:cs="Times New Roman"/>
          <w:color w:val="auto"/>
          <w:bdr w:val="none" w:sz="0" w:space="0" w:color="auto"/>
        </w:rPr>
        <w:t xml:space="preserve">Nel 2014 i leader politici dei </w:t>
      </w:r>
      <w:r w:rsidR="00F25599" w:rsidRPr="006C5AEC">
        <w:rPr>
          <w:rFonts w:eastAsia="Times New Roman" w:cs="Times New Roman"/>
          <w:color w:val="auto"/>
          <w:bdr w:val="none" w:sz="0" w:space="0" w:color="auto"/>
        </w:rPr>
        <w:t>Paesi</w:t>
      </w:r>
      <w:r w:rsidR="00DF7674" w:rsidRPr="006C5AEC">
        <w:rPr>
          <w:rFonts w:eastAsia="Times New Roman" w:cs="Times New Roman"/>
          <w:color w:val="auto"/>
          <w:bdr w:val="none" w:sz="0" w:space="0" w:color="auto"/>
        </w:rPr>
        <w:t xml:space="preserve"> dei Balcani O</w:t>
      </w:r>
      <w:r w:rsidR="00E65922" w:rsidRPr="006C5AEC">
        <w:rPr>
          <w:rFonts w:eastAsia="Times New Roman" w:cs="Times New Roman"/>
          <w:color w:val="auto"/>
          <w:bdr w:val="none" w:sz="0" w:space="0" w:color="auto"/>
        </w:rPr>
        <w:t>ccidentali Albania, B</w:t>
      </w:r>
      <w:r w:rsidR="00DF7674" w:rsidRPr="006C5AEC">
        <w:rPr>
          <w:rFonts w:eastAsia="Times New Roman" w:cs="Times New Roman"/>
          <w:color w:val="auto"/>
          <w:bdr w:val="none" w:sz="0" w:space="0" w:color="auto"/>
        </w:rPr>
        <w:t>osnia ed Erzegovina, Macedonia S</w:t>
      </w:r>
      <w:r w:rsidR="00E65922" w:rsidRPr="006C5AEC">
        <w:rPr>
          <w:rFonts w:eastAsia="Times New Roman" w:cs="Times New Roman"/>
          <w:color w:val="auto"/>
          <w:bdr w:val="none" w:sz="0" w:space="0" w:color="auto"/>
        </w:rPr>
        <w:t xml:space="preserve">ettentrionale, Kosovo, Montenegro e Serbia si sono riuniti per la prima volta </w:t>
      </w:r>
      <w:r w:rsidR="00885004" w:rsidRPr="006C5AEC">
        <w:rPr>
          <w:color w:val="auto"/>
        </w:rPr>
        <w:t>in un meccanismo di cooperazione intergovernativa sul tema delle infrastrutture e degli investimenti economici nel Sud Est Europa, che va</w:t>
      </w:r>
      <w:r w:rsidR="00885004" w:rsidRPr="006C5AEC">
        <w:rPr>
          <w:rFonts w:eastAsia="Times New Roman" w:cs="Times New Roman"/>
          <w:color w:val="auto"/>
          <w:bdr w:val="none" w:sz="0" w:space="0" w:color="auto"/>
        </w:rPr>
        <w:t xml:space="preserve"> </w:t>
      </w:r>
      <w:r w:rsidR="00E65922" w:rsidRPr="006C5AEC">
        <w:rPr>
          <w:rFonts w:eastAsia="Times New Roman" w:cs="Times New Roman"/>
          <w:color w:val="auto"/>
          <w:bdr w:val="none" w:sz="0" w:space="0" w:color="auto"/>
        </w:rPr>
        <w:t xml:space="preserve">sotto il nome di </w:t>
      </w:r>
      <w:r w:rsidR="007D7F8B" w:rsidRPr="006C5AEC">
        <w:rPr>
          <w:color w:val="auto"/>
        </w:rPr>
        <w:t>“</w:t>
      </w:r>
      <w:r w:rsidR="007D7F8B" w:rsidRPr="006C5AEC">
        <w:rPr>
          <w:i/>
          <w:color w:val="auto"/>
        </w:rPr>
        <w:t xml:space="preserve">Western </w:t>
      </w:r>
      <w:proofErr w:type="spellStart"/>
      <w:r w:rsidR="007D7F8B" w:rsidRPr="006C5AEC">
        <w:rPr>
          <w:i/>
          <w:color w:val="auto"/>
        </w:rPr>
        <w:t>Balkans</w:t>
      </w:r>
      <w:proofErr w:type="spellEnd"/>
      <w:r w:rsidR="007D7F8B" w:rsidRPr="006C5AEC">
        <w:rPr>
          <w:i/>
          <w:color w:val="auto"/>
        </w:rPr>
        <w:t xml:space="preserve"> 6</w:t>
      </w:r>
      <w:r w:rsidR="007D7F8B" w:rsidRPr="006C5AEC">
        <w:rPr>
          <w:color w:val="auto"/>
        </w:rPr>
        <w:t xml:space="preserve"> (WB6)”</w:t>
      </w:r>
      <w:r w:rsidR="00E65922" w:rsidRPr="006C5AEC">
        <w:rPr>
          <w:rFonts w:eastAsia="Times New Roman" w:cs="Times New Roman"/>
          <w:color w:val="auto"/>
          <w:bdr w:val="none" w:sz="0" w:space="0" w:color="auto"/>
        </w:rPr>
        <w:t xml:space="preserve"> a Berlino. </w:t>
      </w:r>
      <w:r w:rsidR="001F6BA5" w:rsidRPr="006C5AEC">
        <w:rPr>
          <w:rFonts w:eastAsia="Times New Roman" w:cs="Times New Roman"/>
          <w:color w:val="auto"/>
          <w:bdr w:val="none" w:sz="0" w:space="0" w:color="auto"/>
        </w:rPr>
        <w:t xml:space="preserve">L’obiettivo </w:t>
      </w:r>
      <w:r w:rsidR="00E65922" w:rsidRPr="006C5AEC">
        <w:rPr>
          <w:rFonts w:eastAsia="Times New Roman" w:cs="Times New Roman"/>
          <w:color w:val="auto"/>
          <w:bdr w:val="none" w:sz="0" w:space="0" w:color="auto"/>
        </w:rPr>
        <w:t>era quello di dare slancio alla cooperazione regionale</w:t>
      </w:r>
      <w:r w:rsidR="00A40E98" w:rsidRPr="006C5AEC">
        <w:rPr>
          <w:rFonts w:eastAsia="Times New Roman" w:cs="Times New Roman"/>
          <w:color w:val="auto"/>
          <w:bdr w:val="none" w:sz="0" w:space="0" w:color="auto"/>
        </w:rPr>
        <w:t xml:space="preserve"> e </w:t>
      </w:r>
      <w:r w:rsidR="00E65922" w:rsidRPr="006C5AEC">
        <w:rPr>
          <w:rFonts w:eastAsia="Times New Roman" w:cs="Times New Roman"/>
          <w:color w:val="auto"/>
          <w:bdr w:val="none" w:sz="0" w:space="0" w:color="auto"/>
        </w:rPr>
        <w:t>realizza</w:t>
      </w:r>
      <w:r w:rsidR="00A40E98" w:rsidRPr="006C5AEC">
        <w:rPr>
          <w:rFonts w:eastAsia="Times New Roman" w:cs="Times New Roman"/>
          <w:color w:val="auto"/>
          <w:bdr w:val="none" w:sz="0" w:space="0" w:color="auto"/>
        </w:rPr>
        <w:t xml:space="preserve">re </w:t>
      </w:r>
      <w:r w:rsidR="00E65922" w:rsidRPr="006C5AEC">
        <w:rPr>
          <w:rFonts w:eastAsia="Times New Roman" w:cs="Times New Roman"/>
          <w:color w:val="auto"/>
          <w:bdr w:val="none" w:sz="0" w:space="0" w:color="auto"/>
        </w:rPr>
        <w:t>infrastrutture di trasporto di collegamento e</w:t>
      </w:r>
      <w:r w:rsidR="00A40E98" w:rsidRPr="006C5AEC">
        <w:rPr>
          <w:rFonts w:eastAsia="Times New Roman" w:cs="Times New Roman"/>
          <w:color w:val="auto"/>
          <w:bdr w:val="none" w:sz="0" w:space="0" w:color="auto"/>
        </w:rPr>
        <w:t>d</w:t>
      </w:r>
      <w:r w:rsidR="00E65922" w:rsidRPr="006C5AEC">
        <w:rPr>
          <w:rFonts w:eastAsia="Times New Roman" w:cs="Times New Roman"/>
          <w:color w:val="auto"/>
          <w:bdr w:val="none" w:sz="0" w:space="0" w:color="auto"/>
        </w:rPr>
        <w:t xml:space="preserve"> energetiche come volano per la crescita e </w:t>
      </w:r>
      <w:r w:rsidR="001F6BA5" w:rsidRPr="006C5AEC">
        <w:rPr>
          <w:rFonts w:eastAsia="Times New Roman" w:cs="Times New Roman"/>
          <w:color w:val="auto"/>
          <w:bdr w:val="none" w:sz="0" w:space="0" w:color="auto"/>
        </w:rPr>
        <w:t>l’occupazione</w:t>
      </w:r>
      <w:r w:rsidR="00E65922" w:rsidRPr="006C5AEC">
        <w:rPr>
          <w:rFonts w:eastAsia="Times New Roman" w:cs="Times New Roman"/>
          <w:color w:val="auto"/>
          <w:bdr w:val="none" w:sz="0" w:space="0" w:color="auto"/>
        </w:rPr>
        <w:t xml:space="preserve">. </w:t>
      </w:r>
      <w:proofErr w:type="gramStart"/>
      <w:r w:rsidR="008B334A" w:rsidRPr="006C5AEC">
        <w:rPr>
          <w:rFonts w:eastAsia="Times New Roman" w:cs="Times New Roman"/>
          <w:color w:val="auto"/>
          <w:bdr w:val="none" w:sz="0" w:space="0" w:color="auto"/>
        </w:rPr>
        <w:t>E’</w:t>
      </w:r>
      <w:proofErr w:type="gramEnd"/>
      <w:r w:rsidR="008B334A" w:rsidRPr="006C5AEC">
        <w:rPr>
          <w:rFonts w:eastAsia="Times New Roman" w:cs="Times New Roman"/>
          <w:color w:val="auto"/>
          <w:bdr w:val="none" w:sz="0" w:space="0" w:color="auto"/>
        </w:rPr>
        <w:t xml:space="preserve"> stata altresì istituita la cosiddetta </w:t>
      </w:r>
      <w:r w:rsidR="001F6BA5" w:rsidRPr="006C5AEC">
        <w:rPr>
          <w:rFonts w:eastAsia="Times New Roman" w:cs="Times New Roman"/>
          <w:color w:val="auto"/>
          <w:bdr w:val="none" w:sz="0" w:space="0" w:color="auto"/>
        </w:rPr>
        <w:t>“</w:t>
      </w:r>
      <w:r w:rsidR="008B334A" w:rsidRPr="006C5AEC">
        <w:rPr>
          <w:rFonts w:eastAsia="Times New Roman" w:cs="Times New Roman"/>
          <w:color w:val="auto"/>
          <w:bdr w:val="none" w:sz="0" w:space="0" w:color="auto"/>
        </w:rPr>
        <w:t>Agenda di Connettività</w:t>
      </w:r>
      <w:r w:rsidR="001F6BA5" w:rsidRPr="006C5AEC">
        <w:rPr>
          <w:rFonts w:eastAsia="Times New Roman" w:cs="Times New Roman"/>
          <w:color w:val="auto"/>
          <w:bdr w:val="none" w:sz="0" w:space="0" w:color="auto"/>
        </w:rPr>
        <w:t xml:space="preserve">” </w:t>
      </w:r>
      <w:r w:rsidR="008B334A" w:rsidRPr="006C5AEC">
        <w:rPr>
          <w:rFonts w:eastAsia="Times New Roman" w:cs="Times New Roman"/>
          <w:color w:val="auto"/>
          <w:bdr w:val="none" w:sz="0" w:space="0" w:color="auto"/>
        </w:rPr>
        <w:t>per migliorare i legami all'interno dei Balcani occidentali e con l'UE che ha sin dall’inizio sosten</w:t>
      </w:r>
      <w:r w:rsidR="0048574F" w:rsidRPr="006C5AEC">
        <w:rPr>
          <w:rFonts w:eastAsia="Times New Roman" w:cs="Times New Roman"/>
          <w:color w:val="auto"/>
          <w:bdr w:val="none" w:sz="0" w:space="0" w:color="auto"/>
        </w:rPr>
        <w:t>u</w:t>
      </w:r>
      <w:r w:rsidR="008B334A" w:rsidRPr="006C5AEC">
        <w:rPr>
          <w:rFonts w:eastAsia="Times New Roman" w:cs="Times New Roman"/>
          <w:color w:val="auto"/>
          <w:bdr w:val="none" w:sz="0" w:space="0" w:color="auto"/>
        </w:rPr>
        <w:t>to tale politica</w:t>
      </w:r>
    </w:p>
    <w:p w14:paraId="73CA205A" w14:textId="77777777" w:rsidR="00F319D6" w:rsidRDefault="00D93A7C" w:rsidP="00F319D6">
      <w:pPr>
        <w:jc w:val="both"/>
        <w:rPr>
          <w:rFonts w:eastAsia="Times New Roman" w:cs="Times New Roman"/>
          <w:color w:val="auto"/>
          <w:bdr w:val="none" w:sz="0" w:space="0" w:color="auto"/>
        </w:rPr>
      </w:pPr>
      <w:r w:rsidRPr="006C5AEC">
        <w:rPr>
          <w:color w:val="auto"/>
        </w:rPr>
        <w:tab/>
      </w:r>
      <w:r w:rsidR="00885004" w:rsidRPr="006C5AEC">
        <w:rPr>
          <w:color w:val="auto"/>
        </w:rPr>
        <w:t>Un accordo ad</w:t>
      </w:r>
      <w:r w:rsidR="00641BD9" w:rsidRPr="006C5AEC">
        <w:rPr>
          <w:color w:val="auto"/>
        </w:rPr>
        <w:t xml:space="preserve"> alto livello tra l'Unione e i </w:t>
      </w:r>
      <w:r w:rsidR="00F25599" w:rsidRPr="006C5AEC">
        <w:rPr>
          <w:color w:val="auto"/>
        </w:rPr>
        <w:t>Paesi</w:t>
      </w:r>
      <w:r w:rsidR="00DF7674" w:rsidRPr="006C5AEC">
        <w:rPr>
          <w:color w:val="auto"/>
        </w:rPr>
        <w:t xml:space="preserve"> dei Balcani O</w:t>
      </w:r>
      <w:r w:rsidR="00885004" w:rsidRPr="006C5AEC">
        <w:rPr>
          <w:color w:val="auto"/>
        </w:rPr>
        <w:t xml:space="preserve">ccidentali Albania, Bosnia-Erzegovina, Kosovo, </w:t>
      </w:r>
      <w:r w:rsidR="00B01DD4" w:rsidRPr="006C5AEC">
        <w:rPr>
          <w:color w:val="auto"/>
        </w:rPr>
        <w:t>ex Repubblica Jugoslava di Macedonia</w:t>
      </w:r>
      <w:r w:rsidR="00885004" w:rsidRPr="006C5AEC">
        <w:rPr>
          <w:color w:val="auto"/>
        </w:rPr>
        <w:t>, Montenegro e Serbia è stato approvato il 27 agosto 2015 a Vienna in occasione del vertice “</w:t>
      </w:r>
      <w:r w:rsidR="00885004" w:rsidRPr="006C5AEC">
        <w:rPr>
          <w:i/>
          <w:color w:val="auto"/>
        </w:rPr>
        <w:t xml:space="preserve">Western </w:t>
      </w:r>
      <w:proofErr w:type="spellStart"/>
      <w:r w:rsidR="00885004" w:rsidRPr="006C5AEC">
        <w:rPr>
          <w:i/>
          <w:color w:val="auto"/>
        </w:rPr>
        <w:t>Balkans</w:t>
      </w:r>
      <w:proofErr w:type="spellEnd"/>
      <w:r w:rsidR="00885004" w:rsidRPr="006C5AEC">
        <w:rPr>
          <w:i/>
          <w:color w:val="auto"/>
        </w:rPr>
        <w:t xml:space="preserve"> 6</w:t>
      </w:r>
      <w:r w:rsidR="00885004" w:rsidRPr="006C5AEC">
        <w:rPr>
          <w:color w:val="auto"/>
        </w:rPr>
        <w:t xml:space="preserve"> (</w:t>
      </w:r>
      <w:r w:rsidR="00885004" w:rsidRPr="006C5AEC">
        <w:t>WB6)”, relativo all'adattamento</w:t>
      </w:r>
      <w:r w:rsidR="00885004">
        <w:t xml:space="preserve"> dell'estensione indicativa delle mappe della TEN-T globale e all'identificazione dei collegamenti della rete centrale sulle mappe della rete globale. L'accordo ha riguardato le linee delle reti stradali e ferroviarie nonché i porti e gli aeroporti. L'adeguamento delle mappe indicative della rete globale e, in particolare, l'identificazione della rete centrale indicativa avevano l’obiettivo di permettere all'Unione di orientare meglio, anche in termini di sostegno finanziario,</w:t>
      </w:r>
      <w:r w:rsidR="00DF7674">
        <w:t xml:space="preserve"> la cooperazione con i Balcani O</w:t>
      </w:r>
      <w:r w:rsidR="00885004">
        <w:t>ccidentali</w:t>
      </w:r>
      <w:r w:rsidR="00885004" w:rsidRPr="00641BD9">
        <w:t>.</w:t>
      </w:r>
      <w:r w:rsidR="00641BD9" w:rsidRPr="00641BD9">
        <w:rPr>
          <w:rStyle w:val="Collegamentoipertestuale"/>
          <w:u w:val="none"/>
        </w:rPr>
        <w:t xml:space="preserve"> </w:t>
      </w:r>
      <w:r w:rsidR="005900AA">
        <w:rPr>
          <w:rStyle w:val="tlid-translation"/>
        </w:rPr>
        <w:t xml:space="preserve">È stato inoltre convenuto </w:t>
      </w:r>
      <w:r w:rsidR="0048574F">
        <w:rPr>
          <w:rStyle w:val="tlid-translation"/>
        </w:rPr>
        <w:t>di utilizzare lo strumento dei C</w:t>
      </w:r>
      <w:r w:rsidR="005900AA">
        <w:rPr>
          <w:rStyle w:val="tlid-translation"/>
        </w:rPr>
        <w:t xml:space="preserve">orridoi della rete centrale e quindi di estenderli a questi </w:t>
      </w:r>
      <w:r w:rsidR="00F25599">
        <w:rPr>
          <w:rStyle w:val="tlid-translation"/>
        </w:rPr>
        <w:t>Paesi</w:t>
      </w:r>
      <w:r w:rsidR="005900AA">
        <w:rPr>
          <w:rStyle w:val="tlid-translation"/>
        </w:rPr>
        <w:t xml:space="preserve">. Questa estensione riguardava in particolare il Corridoio Reno-Danubio, il Corridoio Mediterraneo e il Corridoio </w:t>
      </w:r>
      <w:proofErr w:type="spellStart"/>
      <w:r w:rsidR="0048574F">
        <w:t>Orient</w:t>
      </w:r>
      <w:proofErr w:type="spellEnd"/>
      <w:r w:rsidR="0048574F">
        <w:t>/</w:t>
      </w:r>
      <w:r w:rsidR="005900AA">
        <w:t xml:space="preserve">East </w:t>
      </w:r>
      <w:proofErr w:type="spellStart"/>
      <w:r w:rsidR="005900AA">
        <w:t>Med</w:t>
      </w:r>
      <w:proofErr w:type="spellEnd"/>
      <w:r w:rsidR="005900AA">
        <w:t>.</w:t>
      </w:r>
      <w:r w:rsidR="00F319D6" w:rsidRPr="00F319D6">
        <w:t xml:space="preserve"> </w:t>
      </w:r>
      <w:r w:rsidR="00F319D6">
        <w:t>C</w:t>
      </w:r>
      <w:r w:rsidR="00F319D6" w:rsidRPr="002104AE">
        <w:t>on Reg</w:t>
      </w:r>
      <w:r w:rsidR="00F319D6">
        <w:t>olamento</w:t>
      </w:r>
      <w:r w:rsidR="00F319D6" w:rsidRPr="002104AE">
        <w:t xml:space="preserve"> Delegato </w:t>
      </w:r>
      <w:r w:rsidR="00F319D6">
        <w:t>(</w:t>
      </w:r>
      <w:r w:rsidR="00F319D6" w:rsidRPr="002104AE">
        <w:t>UE</w:t>
      </w:r>
      <w:r w:rsidR="00F319D6">
        <w:t>)</w:t>
      </w:r>
      <w:r w:rsidR="00F319D6" w:rsidRPr="002104AE">
        <w:t xml:space="preserve"> n.</w:t>
      </w:r>
      <w:r w:rsidR="001F6BA5">
        <w:t xml:space="preserve"> </w:t>
      </w:r>
      <w:r w:rsidR="00641BD9">
        <w:t>758 del 4 f</w:t>
      </w:r>
      <w:r w:rsidR="00F319D6" w:rsidRPr="002104AE">
        <w:t xml:space="preserve">ebbraio 2016, </w:t>
      </w:r>
      <w:r w:rsidR="00F319D6" w:rsidRPr="005900AA">
        <w:rPr>
          <w:rFonts w:eastAsia="Times New Roman" w:cs="Times New Roman"/>
          <w:color w:val="auto"/>
          <w:bdr w:val="none" w:sz="0" w:space="0" w:color="auto"/>
        </w:rPr>
        <w:t xml:space="preserve">la Commissione ha </w:t>
      </w:r>
      <w:r w:rsidR="00A40E98">
        <w:rPr>
          <w:rFonts w:eastAsia="Times New Roman" w:cs="Times New Roman"/>
          <w:color w:val="auto"/>
          <w:bdr w:val="none" w:sz="0" w:space="0" w:color="auto"/>
        </w:rPr>
        <w:t>proposto un adattamento del</w:t>
      </w:r>
      <w:r w:rsidR="00F319D6" w:rsidRPr="005900AA">
        <w:rPr>
          <w:rFonts w:eastAsia="Times New Roman" w:cs="Times New Roman"/>
          <w:color w:val="auto"/>
          <w:bdr w:val="none" w:sz="0" w:space="0" w:color="auto"/>
        </w:rPr>
        <w:t xml:space="preserve">le mappe del </w:t>
      </w:r>
      <w:r w:rsidR="001F6BA5">
        <w:rPr>
          <w:rFonts w:eastAsia="Times New Roman" w:cs="Times New Roman"/>
          <w:color w:val="auto"/>
          <w:bdr w:val="none" w:sz="0" w:space="0" w:color="auto"/>
        </w:rPr>
        <w:t>R</w:t>
      </w:r>
      <w:r w:rsidR="001F6BA5" w:rsidRPr="005900AA">
        <w:rPr>
          <w:rFonts w:eastAsia="Times New Roman" w:cs="Times New Roman"/>
          <w:color w:val="auto"/>
          <w:bdr w:val="none" w:sz="0" w:space="0" w:color="auto"/>
        </w:rPr>
        <w:t xml:space="preserve">egolamento </w:t>
      </w:r>
      <w:r w:rsidR="00BB60C6">
        <w:rPr>
          <w:rFonts w:eastAsia="Times New Roman" w:cs="Times New Roman"/>
          <w:color w:val="auto"/>
          <w:bdr w:val="none" w:sz="0" w:space="0" w:color="auto"/>
        </w:rPr>
        <w:t>(</w:t>
      </w:r>
      <w:r w:rsidR="00F319D6" w:rsidRPr="005900AA">
        <w:rPr>
          <w:rFonts w:eastAsia="Times New Roman" w:cs="Times New Roman"/>
          <w:color w:val="auto"/>
          <w:bdr w:val="none" w:sz="0" w:space="0" w:color="auto"/>
        </w:rPr>
        <w:t>UE</w:t>
      </w:r>
      <w:r w:rsidR="00BB60C6">
        <w:rPr>
          <w:rFonts w:eastAsia="Times New Roman" w:cs="Times New Roman"/>
          <w:color w:val="auto"/>
          <w:bdr w:val="none" w:sz="0" w:space="0" w:color="auto"/>
        </w:rPr>
        <w:t>)</w:t>
      </w:r>
      <w:r w:rsidR="00F319D6" w:rsidRPr="005900AA">
        <w:rPr>
          <w:rFonts w:eastAsia="Times New Roman" w:cs="Times New Roman"/>
          <w:color w:val="auto"/>
          <w:bdr w:val="none" w:sz="0" w:space="0" w:color="auto"/>
        </w:rPr>
        <w:t xml:space="preserve"> n. 1315/2013 indicando l</w:t>
      </w:r>
      <w:r w:rsidR="00A40E98">
        <w:rPr>
          <w:rFonts w:eastAsia="Times New Roman" w:cs="Times New Roman"/>
          <w:color w:val="auto"/>
          <w:bdr w:val="none" w:sz="0" w:space="0" w:color="auto"/>
        </w:rPr>
        <w:t xml:space="preserve">a potenziale </w:t>
      </w:r>
      <w:proofErr w:type="gramStart"/>
      <w:r w:rsidR="00F319D6" w:rsidRPr="005900AA">
        <w:rPr>
          <w:rFonts w:eastAsia="Times New Roman" w:cs="Times New Roman"/>
          <w:color w:val="auto"/>
          <w:bdr w:val="none" w:sz="0" w:space="0" w:color="auto"/>
        </w:rPr>
        <w:t xml:space="preserve">estensione  </w:t>
      </w:r>
      <w:r w:rsidR="00F319D6">
        <w:rPr>
          <w:rFonts w:eastAsia="Times New Roman" w:cs="Times New Roman"/>
          <w:color w:val="auto"/>
          <w:bdr w:val="none" w:sz="0" w:space="0" w:color="auto"/>
        </w:rPr>
        <w:t>della</w:t>
      </w:r>
      <w:proofErr w:type="gramEnd"/>
      <w:r w:rsidR="00F319D6">
        <w:rPr>
          <w:rFonts w:eastAsia="Times New Roman" w:cs="Times New Roman"/>
          <w:color w:val="auto"/>
          <w:bdr w:val="none" w:sz="0" w:space="0" w:color="auto"/>
        </w:rPr>
        <w:t xml:space="preserve"> rete globale e </w:t>
      </w:r>
      <w:r w:rsidR="00F319D6" w:rsidRPr="005900AA">
        <w:rPr>
          <w:rFonts w:eastAsia="Times New Roman" w:cs="Times New Roman"/>
          <w:color w:val="auto"/>
          <w:bdr w:val="none" w:sz="0" w:space="0" w:color="auto"/>
        </w:rPr>
        <w:t>l'identificazione</w:t>
      </w:r>
      <w:r w:rsidR="00F319D6">
        <w:rPr>
          <w:rFonts w:eastAsia="Times New Roman" w:cs="Times New Roman"/>
          <w:color w:val="auto"/>
          <w:bdr w:val="none" w:sz="0" w:space="0" w:color="auto"/>
        </w:rPr>
        <w:t xml:space="preserve"> indicativa</w:t>
      </w:r>
      <w:r w:rsidR="00F319D6" w:rsidRPr="005900AA">
        <w:rPr>
          <w:rFonts w:eastAsia="Times New Roman" w:cs="Times New Roman"/>
          <w:color w:val="auto"/>
          <w:bdr w:val="none" w:sz="0" w:space="0" w:color="auto"/>
        </w:rPr>
        <w:t xml:space="preserve"> della rete centrale di tali </w:t>
      </w:r>
      <w:r w:rsidR="00F25599">
        <w:rPr>
          <w:rFonts w:eastAsia="Times New Roman" w:cs="Times New Roman"/>
          <w:color w:val="auto"/>
          <w:bdr w:val="none" w:sz="0" w:space="0" w:color="auto"/>
        </w:rPr>
        <w:t>Paesi</w:t>
      </w:r>
      <w:r w:rsidR="00F319D6" w:rsidRPr="005900AA">
        <w:rPr>
          <w:rFonts w:eastAsia="Times New Roman" w:cs="Times New Roman"/>
          <w:color w:val="auto"/>
          <w:bdr w:val="none" w:sz="0" w:space="0" w:color="auto"/>
        </w:rPr>
        <w:t>.</w:t>
      </w:r>
    </w:p>
    <w:p w14:paraId="2C480E4A" w14:textId="77777777" w:rsidR="00F319D6" w:rsidRDefault="00D93A7C" w:rsidP="00450E48">
      <w:pPr>
        <w:jc w:val="both"/>
      </w:pPr>
      <w:r>
        <w:tab/>
      </w:r>
      <w:r w:rsidR="0048574F" w:rsidRPr="006C5AEC">
        <w:rPr>
          <w:color w:val="auto"/>
        </w:rPr>
        <w:t>Nell’ambito WB</w:t>
      </w:r>
      <w:r w:rsidR="008B334A" w:rsidRPr="006C5AEC">
        <w:rPr>
          <w:color w:val="auto"/>
        </w:rPr>
        <w:t xml:space="preserve">6, si è tenuto nel mese di </w:t>
      </w:r>
      <w:proofErr w:type="gramStart"/>
      <w:r w:rsidR="008B334A" w:rsidRPr="006C5AEC">
        <w:rPr>
          <w:color w:val="auto"/>
        </w:rPr>
        <w:t>Maggio</w:t>
      </w:r>
      <w:proofErr w:type="gramEnd"/>
      <w:r w:rsidR="008B334A" w:rsidRPr="006C5AEC">
        <w:rPr>
          <w:color w:val="auto"/>
        </w:rPr>
        <w:t xml:space="preserve"> 2018 a Sofia il 5° incontro annuale del WB6</w:t>
      </w:r>
      <w:r w:rsidR="00A40E98" w:rsidRPr="006C5AEC">
        <w:rPr>
          <w:color w:val="auto"/>
        </w:rPr>
        <w:t xml:space="preserve"> in </w:t>
      </w:r>
      <w:r w:rsidR="002040DB" w:rsidRPr="006C5AEC">
        <w:rPr>
          <w:color w:val="auto"/>
        </w:rPr>
        <w:t xml:space="preserve">  </w:t>
      </w:r>
      <w:r w:rsidR="00A40E98" w:rsidRPr="006C5AEC">
        <w:rPr>
          <w:color w:val="auto"/>
        </w:rPr>
        <w:t xml:space="preserve">cui </w:t>
      </w:r>
      <w:r w:rsidR="002040DB" w:rsidRPr="006C5AEC">
        <w:rPr>
          <w:color w:val="auto"/>
        </w:rPr>
        <w:t>è</w:t>
      </w:r>
      <w:r w:rsidR="008B334A" w:rsidRPr="006C5AEC">
        <w:rPr>
          <w:color w:val="auto"/>
        </w:rPr>
        <w:t xml:space="preserve"> stata firmata una Dichiarazione </w:t>
      </w:r>
      <w:r w:rsidR="00A40E98" w:rsidRPr="006C5AEC">
        <w:rPr>
          <w:color w:val="auto"/>
        </w:rPr>
        <w:t>corredata di un</w:t>
      </w:r>
      <w:r w:rsidR="008B334A" w:rsidRPr="006C5AEC">
        <w:rPr>
          <w:color w:val="auto"/>
        </w:rPr>
        <w:t xml:space="preserve"> programma d</w:t>
      </w:r>
      <w:r w:rsidR="00A40E98" w:rsidRPr="006C5AEC">
        <w:rPr>
          <w:color w:val="auto"/>
        </w:rPr>
        <w:t>i</w:t>
      </w:r>
      <w:r w:rsidR="008B334A" w:rsidRPr="006C5AEC">
        <w:rPr>
          <w:color w:val="auto"/>
        </w:rPr>
        <w:t xml:space="preserve"> priorità che delinea</w:t>
      </w:r>
      <w:r w:rsidR="00A40E98" w:rsidRPr="006C5AEC">
        <w:rPr>
          <w:color w:val="auto"/>
        </w:rPr>
        <w:t>va</w:t>
      </w:r>
      <w:r w:rsidR="008B334A" w:rsidRPr="006C5AEC">
        <w:rPr>
          <w:color w:val="auto"/>
        </w:rPr>
        <w:t xml:space="preserve"> nuove iniziative concrete per </w:t>
      </w:r>
      <w:r w:rsidR="008B334A">
        <w:t xml:space="preserve">incentivare la connettività. </w:t>
      </w:r>
      <w:r w:rsidR="00F319D6">
        <w:rPr>
          <w:rFonts w:eastAsia="Times New Roman" w:cs="Times New Roman"/>
          <w:color w:val="auto"/>
          <w:bdr w:val="none" w:sz="0" w:space="0" w:color="auto"/>
        </w:rPr>
        <w:t xml:space="preserve">Nel medesimo contesto è stata altresì approfondita l’estensione dei </w:t>
      </w:r>
      <w:r w:rsidR="0048574F">
        <w:rPr>
          <w:rFonts w:eastAsia="Times New Roman" w:cs="Times New Roman"/>
          <w:color w:val="auto"/>
          <w:bdr w:val="none" w:sz="0" w:space="0" w:color="auto"/>
        </w:rPr>
        <w:t>C</w:t>
      </w:r>
      <w:r w:rsidR="00F319D6" w:rsidRPr="00E65922">
        <w:rPr>
          <w:rFonts w:eastAsia="Times New Roman" w:cs="Times New Roman"/>
          <w:color w:val="auto"/>
          <w:bdr w:val="none" w:sz="0" w:space="0" w:color="auto"/>
        </w:rPr>
        <w:t>orridoi della rete centrale e i progetti prioritari individuati per gli investimenti nelle infrastrutture</w:t>
      </w:r>
      <w:r w:rsidR="00C5780C">
        <w:rPr>
          <w:rFonts w:eastAsia="Times New Roman" w:cs="Times New Roman"/>
          <w:color w:val="auto"/>
          <w:bdr w:val="none" w:sz="0" w:space="0" w:color="auto"/>
        </w:rPr>
        <w:t xml:space="preserve"> (Figura XI.2.1)</w:t>
      </w:r>
      <w:r w:rsidR="0041181F">
        <w:rPr>
          <w:rFonts w:eastAsia="Times New Roman" w:cs="Times New Roman"/>
          <w:color w:val="auto"/>
          <w:bdr w:val="none" w:sz="0" w:space="0" w:color="auto"/>
        </w:rPr>
        <w:t>. Estendere i C</w:t>
      </w:r>
      <w:r w:rsidR="00F319D6" w:rsidRPr="00E65922">
        <w:rPr>
          <w:rFonts w:eastAsia="Times New Roman" w:cs="Times New Roman"/>
          <w:color w:val="auto"/>
          <w:bdr w:val="none" w:sz="0" w:space="0" w:color="auto"/>
        </w:rPr>
        <w:t xml:space="preserve">orridoi della rete centrale TEN-T ai Balcani occidentali </w:t>
      </w:r>
      <w:r w:rsidR="00F319D6">
        <w:rPr>
          <w:rFonts w:eastAsia="Times New Roman" w:cs="Times New Roman"/>
          <w:color w:val="auto"/>
          <w:bdr w:val="none" w:sz="0" w:space="0" w:color="auto"/>
        </w:rPr>
        <w:t xml:space="preserve">potrà </w:t>
      </w:r>
      <w:r w:rsidR="00F319D6" w:rsidRPr="00E65922">
        <w:rPr>
          <w:rFonts w:eastAsia="Times New Roman" w:cs="Times New Roman"/>
          <w:color w:val="auto"/>
          <w:bdr w:val="none" w:sz="0" w:space="0" w:color="auto"/>
        </w:rPr>
        <w:t>assicura</w:t>
      </w:r>
      <w:r w:rsidR="00F319D6">
        <w:rPr>
          <w:rFonts w:eastAsia="Times New Roman" w:cs="Times New Roman"/>
          <w:color w:val="auto"/>
          <w:bdr w:val="none" w:sz="0" w:space="0" w:color="auto"/>
        </w:rPr>
        <w:t>re</w:t>
      </w:r>
      <w:r w:rsidR="00F319D6" w:rsidRPr="00E65922">
        <w:rPr>
          <w:rFonts w:eastAsia="Times New Roman" w:cs="Times New Roman"/>
          <w:color w:val="auto"/>
          <w:bdr w:val="none" w:sz="0" w:space="0" w:color="auto"/>
        </w:rPr>
        <w:t xml:space="preserve"> una più stretta integrazione con l'UE e </w:t>
      </w:r>
      <w:r w:rsidR="00F319D6">
        <w:rPr>
          <w:rFonts w:eastAsia="Times New Roman" w:cs="Times New Roman"/>
          <w:color w:val="auto"/>
          <w:bdr w:val="none" w:sz="0" w:space="0" w:color="auto"/>
        </w:rPr>
        <w:t xml:space="preserve">fornire </w:t>
      </w:r>
      <w:r w:rsidR="00F319D6" w:rsidRPr="00E65922">
        <w:rPr>
          <w:rFonts w:eastAsia="Times New Roman" w:cs="Times New Roman"/>
          <w:color w:val="auto"/>
          <w:bdr w:val="none" w:sz="0" w:space="0" w:color="auto"/>
        </w:rPr>
        <w:t>la base per</w:t>
      </w:r>
      <w:r w:rsidR="00F319D6">
        <w:rPr>
          <w:rFonts w:eastAsia="Times New Roman" w:cs="Times New Roman"/>
          <w:color w:val="auto"/>
          <w:bdr w:val="none" w:sz="0" w:space="0" w:color="auto"/>
        </w:rPr>
        <w:t xml:space="preserve"> utilizzare</w:t>
      </w:r>
      <w:r w:rsidR="00F319D6" w:rsidRPr="00E65922">
        <w:rPr>
          <w:rFonts w:eastAsia="Times New Roman" w:cs="Times New Roman"/>
          <w:color w:val="auto"/>
          <w:bdr w:val="none" w:sz="0" w:space="0" w:color="auto"/>
        </w:rPr>
        <w:t xml:space="preserve"> </w:t>
      </w:r>
      <w:r w:rsidR="00F319D6">
        <w:rPr>
          <w:rFonts w:eastAsia="Times New Roman" w:cs="Times New Roman"/>
          <w:color w:val="auto"/>
          <w:bdr w:val="none" w:sz="0" w:space="0" w:color="auto"/>
        </w:rPr>
        <w:t>il</w:t>
      </w:r>
      <w:r w:rsidR="00F319D6" w:rsidRPr="00E65922">
        <w:rPr>
          <w:rFonts w:eastAsia="Times New Roman" w:cs="Times New Roman"/>
          <w:color w:val="auto"/>
          <w:bdr w:val="none" w:sz="0" w:space="0" w:color="auto"/>
        </w:rPr>
        <w:t xml:space="preserve"> sostegno</w:t>
      </w:r>
      <w:r w:rsidR="00F319D6">
        <w:rPr>
          <w:rFonts w:eastAsia="Times New Roman" w:cs="Times New Roman"/>
          <w:color w:val="auto"/>
          <w:bdr w:val="none" w:sz="0" w:space="0" w:color="auto"/>
        </w:rPr>
        <w:t xml:space="preserve"> finanziario</w:t>
      </w:r>
      <w:r w:rsidR="00F319D6" w:rsidRPr="00E65922">
        <w:rPr>
          <w:rFonts w:eastAsia="Times New Roman" w:cs="Times New Roman"/>
          <w:color w:val="auto"/>
          <w:bdr w:val="none" w:sz="0" w:space="0" w:color="auto"/>
        </w:rPr>
        <w:t xml:space="preserve"> dell'UE attraverso</w:t>
      </w:r>
      <w:r w:rsidR="00F319D6">
        <w:rPr>
          <w:rFonts w:eastAsia="Times New Roman" w:cs="Times New Roman"/>
          <w:color w:val="auto"/>
          <w:bdr w:val="none" w:sz="0" w:space="0" w:color="auto"/>
        </w:rPr>
        <w:t xml:space="preserve"> sia</w:t>
      </w:r>
      <w:r w:rsidR="00F319D6" w:rsidRPr="00E65922">
        <w:rPr>
          <w:rFonts w:eastAsia="Times New Roman" w:cs="Times New Roman"/>
          <w:color w:val="auto"/>
          <w:bdr w:val="none" w:sz="0" w:space="0" w:color="auto"/>
        </w:rPr>
        <w:t xml:space="preserve"> il quadro per gli investimenti nei Balcani occidentali (WBIF) </w:t>
      </w:r>
      <w:r w:rsidR="00F319D6">
        <w:rPr>
          <w:rFonts w:eastAsia="Times New Roman" w:cs="Times New Roman"/>
          <w:color w:val="auto"/>
          <w:bdr w:val="none" w:sz="0" w:space="0" w:color="auto"/>
        </w:rPr>
        <w:t>ch</w:t>
      </w:r>
      <w:r w:rsidR="00F319D6" w:rsidRPr="00E65922">
        <w:rPr>
          <w:rFonts w:eastAsia="Times New Roman" w:cs="Times New Roman"/>
          <w:color w:val="auto"/>
          <w:bdr w:val="none" w:sz="0" w:space="0" w:color="auto"/>
        </w:rPr>
        <w:t>e il meccanismo per collegare l'Europa (CEF).</w:t>
      </w:r>
      <w:r w:rsidR="00A40E98">
        <w:t xml:space="preserve"> </w:t>
      </w:r>
      <w:r w:rsidR="00F319D6" w:rsidRPr="00EB0AA3">
        <w:t>L’Italia ha mostrato sin dai primi segnali di tale cooperazione favore</w:t>
      </w:r>
      <w:r w:rsidR="00F319D6">
        <w:t xml:space="preserve"> verso il processo di estensione delle reti, in particolare verso quella dei Corridoi multimodali della rete centrale in considerazione dell’importanza dei c</w:t>
      </w:r>
      <w:r w:rsidR="0041181F">
        <w:t>ollegamenti orizzontali tra il C</w:t>
      </w:r>
      <w:r w:rsidR="00F319D6">
        <w:t xml:space="preserve">orridoio Scandinavo Mediterraneo ed il Corridoio Baltico Adriatico che corrono lungo la dorsale adriatica con i potenziali prolungamenti dei </w:t>
      </w:r>
      <w:r w:rsidR="0041181F">
        <w:t xml:space="preserve">Corridoi Mediterraneo e </w:t>
      </w:r>
      <w:proofErr w:type="spellStart"/>
      <w:r w:rsidR="0041181F">
        <w:t>Orient</w:t>
      </w:r>
      <w:proofErr w:type="spellEnd"/>
      <w:r w:rsidR="0041181F">
        <w:t>/</w:t>
      </w:r>
      <w:r w:rsidR="00F319D6">
        <w:t>East</w:t>
      </w:r>
      <w:r w:rsidR="00B76C6E">
        <w:t>-</w:t>
      </w:r>
      <w:proofErr w:type="spellStart"/>
      <w:r w:rsidR="00DF7674">
        <w:t>Med</w:t>
      </w:r>
      <w:proofErr w:type="spellEnd"/>
      <w:r w:rsidR="00DF7674">
        <w:t xml:space="preserve"> nella Regione dei Balcani O</w:t>
      </w:r>
      <w:r w:rsidR="00F319D6">
        <w:t>ccidentali lungo la costa adriatica vicina.</w:t>
      </w:r>
    </w:p>
    <w:p w14:paraId="6358EE71" w14:textId="77777777" w:rsidR="00F319D6" w:rsidRPr="00E65922" w:rsidRDefault="00D93A7C" w:rsidP="00F319D6">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s="Times New Roman"/>
          <w:color w:val="auto"/>
          <w:bdr w:val="none" w:sz="0" w:space="0" w:color="auto"/>
        </w:rPr>
      </w:pPr>
      <w:r>
        <w:rPr>
          <w:rFonts w:eastAsia="Times New Roman" w:cs="Times New Roman"/>
          <w:color w:val="auto"/>
          <w:bdr w:val="none" w:sz="0" w:space="0" w:color="auto"/>
        </w:rPr>
        <w:tab/>
      </w:r>
      <w:r w:rsidR="00F319D6" w:rsidRPr="00E65922">
        <w:rPr>
          <w:rFonts w:eastAsia="Times New Roman" w:cs="Times New Roman"/>
          <w:color w:val="auto"/>
          <w:bdr w:val="none" w:sz="0" w:space="0" w:color="auto"/>
        </w:rPr>
        <w:t>Migliorare la connettività all'interno dei Balcani occidentali, nonché tra i Balcani occidentali e l'</w:t>
      </w:r>
      <w:r w:rsidR="00F25599">
        <w:rPr>
          <w:rFonts w:eastAsia="Times New Roman" w:cs="Times New Roman"/>
          <w:color w:val="auto"/>
          <w:bdr w:val="none" w:sz="0" w:space="0" w:color="auto"/>
        </w:rPr>
        <w:t>Unione Europea</w:t>
      </w:r>
      <w:r w:rsidR="00F319D6" w:rsidRPr="00E65922">
        <w:rPr>
          <w:rFonts w:eastAsia="Times New Roman" w:cs="Times New Roman"/>
          <w:color w:val="auto"/>
          <w:bdr w:val="none" w:sz="0" w:space="0" w:color="auto"/>
        </w:rPr>
        <w:t>, è</w:t>
      </w:r>
      <w:r w:rsidR="00F319D6">
        <w:rPr>
          <w:rFonts w:eastAsia="Times New Roman" w:cs="Times New Roman"/>
          <w:color w:val="auto"/>
          <w:bdr w:val="none" w:sz="0" w:space="0" w:color="auto"/>
        </w:rPr>
        <w:t xml:space="preserve"> evidentemente </w:t>
      </w:r>
      <w:r w:rsidR="00F319D6" w:rsidRPr="00E65922">
        <w:rPr>
          <w:rFonts w:eastAsia="Times New Roman" w:cs="Times New Roman"/>
          <w:color w:val="auto"/>
          <w:bdr w:val="none" w:sz="0" w:space="0" w:color="auto"/>
        </w:rPr>
        <w:t>un fattore chiave per la crescita e l'occupazione e porterà benefici alle</w:t>
      </w:r>
      <w:r w:rsidR="00F319D6">
        <w:rPr>
          <w:rFonts w:eastAsia="Times New Roman" w:cs="Times New Roman"/>
          <w:color w:val="auto"/>
          <w:bdr w:val="none" w:sz="0" w:space="0" w:color="auto"/>
        </w:rPr>
        <w:t xml:space="preserve"> economie e ai cittadini della R</w:t>
      </w:r>
      <w:r w:rsidR="00F319D6" w:rsidRPr="00E65922">
        <w:rPr>
          <w:rFonts w:eastAsia="Times New Roman" w:cs="Times New Roman"/>
          <w:color w:val="auto"/>
          <w:bdr w:val="none" w:sz="0" w:space="0" w:color="auto"/>
        </w:rPr>
        <w:t>egione. Tuttavia, non è solo l'infrastruttura che migliorerà la connettività. Altrettanto importante è l'attuazione di norme tecniche e misure come l'allineamento e la semplificazione delle procedure di attraversamento delle frontiere, le riforme ferroviarie, i sistemi di informazione, i sistemi di si</w:t>
      </w:r>
      <w:r w:rsidR="00F319D6">
        <w:rPr>
          <w:rFonts w:eastAsia="Times New Roman" w:cs="Times New Roman"/>
          <w:color w:val="auto"/>
          <w:bdr w:val="none" w:sz="0" w:space="0" w:color="auto"/>
        </w:rPr>
        <w:t>curezza e la manutenzione stradale.</w:t>
      </w:r>
    </w:p>
    <w:p w14:paraId="65C062C7" w14:textId="77777777" w:rsidR="002B6644" w:rsidRPr="006C5AEC" w:rsidRDefault="00D93A7C" w:rsidP="00F6434E">
      <w:pPr>
        <w:jc w:val="both"/>
        <w:rPr>
          <w:rFonts w:eastAsia="Times New Roman" w:cs="Times New Roman"/>
          <w:color w:val="auto"/>
        </w:rPr>
      </w:pPr>
      <w:r>
        <w:rPr>
          <w:rFonts w:eastAsia="Times New Roman" w:cs="Times New Roman"/>
        </w:rPr>
        <w:tab/>
      </w:r>
      <w:r w:rsidR="00F319D6">
        <w:rPr>
          <w:rFonts w:eastAsia="Times New Roman" w:cs="Times New Roman"/>
        </w:rPr>
        <w:t>Pertanto</w:t>
      </w:r>
      <w:r w:rsidR="001F6BA5">
        <w:rPr>
          <w:rFonts w:eastAsia="Times New Roman" w:cs="Times New Roman"/>
        </w:rPr>
        <w:t>,</w:t>
      </w:r>
      <w:r w:rsidR="00F319D6">
        <w:rPr>
          <w:rFonts w:eastAsia="Times New Roman" w:cs="Times New Roman"/>
        </w:rPr>
        <w:t xml:space="preserve"> al</w:t>
      </w:r>
      <w:r w:rsidR="00885004">
        <w:rPr>
          <w:rFonts w:eastAsia="Times New Roman" w:cs="Times New Roman"/>
        </w:rPr>
        <w:t xml:space="preserve"> fine di </w:t>
      </w:r>
      <w:r w:rsidR="00387CDB" w:rsidRPr="00387CDB">
        <w:rPr>
          <w:rFonts w:eastAsia="Times New Roman" w:cs="Times New Roman"/>
        </w:rPr>
        <w:t>promuove lo sviluppo dei trasporti tra l’Unione e le</w:t>
      </w:r>
      <w:r w:rsidR="001B5B12">
        <w:rPr>
          <w:rFonts w:eastAsia="Times New Roman" w:cs="Times New Roman"/>
        </w:rPr>
        <w:t xml:space="preserve"> parti dell’Europa S</w:t>
      </w:r>
      <w:r w:rsidR="00387CDB" w:rsidRPr="00387CDB">
        <w:rPr>
          <w:rFonts w:eastAsia="Times New Roman" w:cs="Times New Roman"/>
        </w:rPr>
        <w:t>ud</w:t>
      </w:r>
      <w:r w:rsidR="001B5B12">
        <w:rPr>
          <w:rFonts w:eastAsia="Times New Roman" w:cs="Times New Roman"/>
        </w:rPr>
        <w:t xml:space="preserve"> O</w:t>
      </w:r>
      <w:r w:rsidR="00387CDB" w:rsidRPr="00387CDB">
        <w:rPr>
          <w:rFonts w:eastAsia="Times New Roman" w:cs="Times New Roman"/>
        </w:rPr>
        <w:t>rientale in base alle disposizioni dell’</w:t>
      </w:r>
      <w:proofErr w:type="spellStart"/>
      <w:r w:rsidR="00387CDB" w:rsidRPr="000106F4">
        <w:rPr>
          <w:rFonts w:eastAsia="Times New Roman" w:cs="Times New Roman"/>
          <w:i/>
        </w:rPr>
        <w:t>acquis</w:t>
      </w:r>
      <w:proofErr w:type="spellEnd"/>
      <w:r w:rsidR="00387CDB" w:rsidRPr="00387CDB">
        <w:rPr>
          <w:rFonts w:eastAsia="Times New Roman" w:cs="Times New Roman"/>
        </w:rPr>
        <w:t xml:space="preserve"> dell’Unione</w:t>
      </w:r>
      <w:r w:rsidR="00C1452A">
        <w:rPr>
          <w:rFonts w:eastAsia="Times New Roman" w:cs="Times New Roman"/>
        </w:rPr>
        <w:t xml:space="preserve"> </w:t>
      </w:r>
      <w:r w:rsidR="00C1452A" w:rsidRPr="00F6434E">
        <w:rPr>
          <w:rFonts w:eastAsia="Times New Roman" w:cs="Times New Roman"/>
        </w:rPr>
        <w:t>(ossia il corpus le</w:t>
      </w:r>
      <w:r w:rsidR="00E9061C">
        <w:rPr>
          <w:rFonts w:eastAsia="Times New Roman" w:cs="Times New Roman"/>
        </w:rPr>
        <w:t>gislativo adottato dall’</w:t>
      </w:r>
      <w:r w:rsidR="00F25599">
        <w:rPr>
          <w:rFonts w:eastAsia="Times New Roman" w:cs="Times New Roman"/>
        </w:rPr>
        <w:t>Unione Europea</w:t>
      </w:r>
      <w:r w:rsidR="00C1452A">
        <w:rPr>
          <w:rFonts w:eastAsia="Times New Roman" w:cs="Times New Roman"/>
        </w:rPr>
        <w:t>)</w:t>
      </w:r>
      <w:r w:rsidR="00387CDB">
        <w:rPr>
          <w:rFonts w:eastAsia="Times New Roman" w:cs="Times New Roman"/>
        </w:rPr>
        <w:t xml:space="preserve">, </w:t>
      </w:r>
      <w:r w:rsidR="002B6644" w:rsidRPr="00F6434E">
        <w:rPr>
          <w:rFonts w:eastAsia="Times New Roman" w:cs="Times New Roman"/>
        </w:rPr>
        <w:t xml:space="preserve">è stato </w:t>
      </w:r>
      <w:r w:rsidR="00885004">
        <w:rPr>
          <w:rFonts w:eastAsia="Times New Roman" w:cs="Times New Roman"/>
        </w:rPr>
        <w:t xml:space="preserve">firmato </w:t>
      </w:r>
      <w:r w:rsidR="002B6644" w:rsidRPr="00F6434E">
        <w:rPr>
          <w:rFonts w:eastAsia="Times New Roman" w:cs="Times New Roman"/>
        </w:rPr>
        <w:t xml:space="preserve">il </w:t>
      </w:r>
      <w:r w:rsidR="002B6644" w:rsidRPr="006C5AEC">
        <w:rPr>
          <w:rFonts w:eastAsia="Times New Roman" w:cs="Times New Roman"/>
          <w:color w:val="auto"/>
        </w:rPr>
        <w:t xml:space="preserve">Trattato che istituisce la </w:t>
      </w:r>
      <w:r w:rsidR="00885004" w:rsidRPr="006C5AEC">
        <w:rPr>
          <w:rFonts w:eastAsia="Times New Roman" w:cs="Times New Roman"/>
          <w:color w:val="auto"/>
        </w:rPr>
        <w:t>“Comunità dei T</w:t>
      </w:r>
      <w:r w:rsidR="002B6644" w:rsidRPr="006C5AEC">
        <w:rPr>
          <w:rFonts w:eastAsia="Times New Roman" w:cs="Times New Roman"/>
          <w:color w:val="auto"/>
        </w:rPr>
        <w:t>rasporti</w:t>
      </w:r>
      <w:r w:rsidR="00885004" w:rsidRPr="006C5AEC">
        <w:rPr>
          <w:rFonts w:eastAsia="Times New Roman" w:cs="Times New Roman"/>
          <w:color w:val="auto"/>
        </w:rPr>
        <w:t>”</w:t>
      </w:r>
      <w:r w:rsidR="00387CDB" w:rsidRPr="006C5AEC">
        <w:rPr>
          <w:color w:val="auto"/>
        </w:rPr>
        <w:t xml:space="preserve"> </w:t>
      </w:r>
      <w:r w:rsidR="00387CDB" w:rsidRPr="006C5AEC">
        <w:rPr>
          <w:rFonts w:eastAsia="Times New Roman" w:cs="Times New Roman"/>
          <w:color w:val="auto"/>
        </w:rPr>
        <w:t xml:space="preserve">in conformità alla </w:t>
      </w:r>
      <w:r w:rsidR="00B01DD4" w:rsidRPr="006C5AEC">
        <w:rPr>
          <w:rFonts w:eastAsia="Times New Roman" w:cs="Times New Roman"/>
          <w:color w:val="auto"/>
        </w:rPr>
        <w:t>D</w:t>
      </w:r>
      <w:r w:rsidR="00387CDB" w:rsidRPr="006C5AEC">
        <w:rPr>
          <w:rFonts w:eastAsia="Times New Roman" w:cs="Times New Roman"/>
          <w:color w:val="auto"/>
        </w:rPr>
        <w:t>ecisione (UE) 2017/1937 del Consiglio dell'11 luglio 2017</w:t>
      </w:r>
      <w:r w:rsidR="00885004" w:rsidRPr="006C5AEC">
        <w:rPr>
          <w:rFonts w:eastAsia="Times New Roman" w:cs="Times New Roman"/>
          <w:color w:val="auto"/>
        </w:rPr>
        <w:t xml:space="preserve">, </w:t>
      </w:r>
      <w:r w:rsidR="00387CDB" w:rsidRPr="006C5AEC">
        <w:rPr>
          <w:color w:val="auto"/>
        </w:rPr>
        <w:t>entrato in vigore il 9</w:t>
      </w:r>
      <w:r w:rsidR="0041181F" w:rsidRPr="006C5AEC">
        <w:rPr>
          <w:color w:val="auto"/>
        </w:rPr>
        <w:t xml:space="preserve"> ottobre </w:t>
      </w:r>
      <w:r w:rsidR="00387CDB" w:rsidRPr="006C5AEC">
        <w:rPr>
          <w:color w:val="auto"/>
        </w:rPr>
        <w:t xml:space="preserve">2017 e </w:t>
      </w:r>
      <w:r w:rsidR="00885004" w:rsidRPr="006C5AEC">
        <w:rPr>
          <w:rFonts w:eastAsia="Times New Roman" w:cs="Times New Roman"/>
          <w:color w:val="auto"/>
        </w:rPr>
        <w:t xml:space="preserve">pubblicato sulla </w:t>
      </w:r>
      <w:r w:rsidR="00F25599" w:rsidRPr="006C5AEC">
        <w:rPr>
          <w:rFonts w:eastAsia="Times New Roman" w:cs="Times New Roman"/>
          <w:color w:val="auto"/>
        </w:rPr>
        <w:t>Gazzetta Ufficiale dell’Unione Europea</w:t>
      </w:r>
      <w:r w:rsidR="00885004" w:rsidRPr="006C5AEC">
        <w:rPr>
          <w:rFonts w:eastAsia="Times New Roman" w:cs="Times New Roman"/>
          <w:color w:val="auto"/>
        </w:rPr>
        <w:t xml:space="preserve"> il 27 ottobre 2017</w:t>
      </w:r>
      <w:r w:rsidR="002B6644" w:rsidRPr="006C5AEC">
        <w:rPr>
          <w:rFonts w:eastAsia="Times New Roman" w:cs="Times New Roman"/>
          <w:color w:val="auto"/>
        </w:rPr>
        <w:t xml:space="preserve">. </w:t>
      </w:r>
      <w:r w:rsidR="00885004" w:rsidRPr="006C5AEC">
        <w:rPr>
          <w:rFonts w:eastAsia="Times New Roman" w:cs="Times New Roman"/>
          <w:color w:val="auto"/>
        </w:rPr>
        <w:t>Le p</w:t>
      </w:r>
      <w:r w:rsidR="002B6644" w:rsidRPr="006C5AEC">
        <w:rPr>
          <w:rFonts w:eastAsia="Times New Roman" w:cs="Times New Roman"/>
          <w:color w:val="auto"/>
        </w:rPr>
        <w:t>arti contraenti del Trattato sono, da un lato, l’</w:t>
      </w:r>
      <w:r w:rsidR="00F25599" w:rsidRPr="006C5AEC">
        <w:rPr>
          <w:rFonts w:eastAsia="Times New Roman" w:cs="Times New Roman"/>
          <w:color w:val="auto"/>
        </w:rPr>
        <w:t>Unione Europea</w:t>
      </w:r>
      <w:r w:rsidR="002B6644" w:rsidRPr="006C5AEC">
        <w:rPr>
          <w:rFonts w:eastAsia="Times New Roman" w:cs="Times New Roman"/>
          <w:color w:val="auto"/>
        </w:rPr>
        <w:t xml:space="preserve"> e, dall’altro, la Repubblica di Albania, la Bosnia-Erzegovina, </w:t>
      </w:r>
      <w:r w:rsidR="00B01DD4" w:rsidRPr="006C5AEC">
        <w:rPr>
          <w:color w:val="auto"/>
        </w:rPr>
        <w:t>l’ex Repubblica Jugoslava di Macedonia</w:t>
      </w:r>
      <w:r w:rsidR="002B6644" w:rsidRPr="006C5AEC">
        <w:rPr>
          <w:rFonts w:eastAsia="Times New Roman" w:cs="Times New Roman"/>
          <w:color w:val="auto"/>
        </w:rPr>
        <w:t>, il Kosovo, il Montenegro e la Repubblica della Serbia.</w:t>
      </w:r>
    </w:p>
    <w:p w14:paraId="209A648E" w14:textId="77777777" w:rsidR="002B6644" w:rsidRPr="00F6434E" w:rsidRDefault="00D93A7C" w:rsidP="00F6434E">
      <w:pPr>
        <w:jc w:val="both"/>
        <w:rPr>
          <w:rFonts w:eastAsia="Times New Roman" w:cs="Times New Roman"/>
        </w:rPr>
      </w:pPr>
      <w:r w:rsidRPr="006C5AEC">
        <w:rPr>
          <w:rFonts w:eastAsia="Times New Roman" w:cs="Times New Roman"/>
          <w:color w:val="auto"/>
        </w:rPr>
        <w:tab/>
      </w:r>
      <w:r w:rsidR="002B6644" w:rsidRPr="006C5AEC">
        <w:rPr>
          <w:rFonts w:eastAsia="Times New Roman" w:cs="Times New Roman"/>
          <w:color w:val="auto"/>
        </w:rPr>
        <w:t xml:space="preserve">La Comunità dei trasporti nel settore dei trasporti stradale, ferroviario, per via navigabile interna e marittimo, denominata più semplicemente </w:t>
      </w:r>
      <w:r w:rsidR="002B6644" w:rsidRPr="00F6434E">
        <w:rPr>
          <w:rFonts w:eastAsia="Times New Roman" w:cs="Times New Roman"/>
        </w:rPr>
        <w:t>Comunità dei trasporti, mira a sviluppare la rete di trasporti tra l’</w:t>
      </w:r>
      <w:r w:rsidR="00F25599">
        <w:rPr>
          <w:rFonts w:eastAsia="Times New Roman" w:cs="Times New Roman"/>
        </w:rPr>
        <w:t>Unione Europea</w:t>
      </w:r>
      <w:r w:rsidR="002B6644" w:rsidRPr="00F6434E">
        <w:rPr>
          <w:rFonts w:eastAsia="Times New Roman" w:cs="Times New Roman"/>
        </w:rPr>
        <w:t xml:space="preserve"> e questi </w:t>
      </w:r>
      <w:r w:rsidR="00F25599">
        <w:rPr>
          <w:rFonts w:eastAsia="Times New Roman" w:cs="Times New Roman"/>
        </w:rPr>
        <w:t>Paesi</w:t>
      </w:r>
      <w:r w:rsidR="002B6644" w:rsidRPr="00F6434E">
        <w:rPr>
          <w:rFonts w:eastAsia="Times New Roman" w:cs="Times New Roman"/>
        </w:rPr>
        <w:t xml:space="preserve"> e si fonda sull’integrazione progressiva dei mercati dei t</w:t>
      </w:r>
      <w:r w:rsidR="001B5B12">
        <w:rPr>
          <w:rFonts w:eastAsia="Times New Roman" w:cs="Times New Roman"/>
        </w:rPr>
        <w:t xml:space="preserve">rasporti dei </w:t>
      </w:r>
      <w:r w:rsidR="00F25599">
        <w:rPr>
          <w:rFonts w:eastAsia="Times New Roman" w:cs="Times New Roman"/>
        </w:rPr>
        <w:t>Paesi</w:t>
      </w:r>
      <w:r w:rsidR="001B5B12">
        <w:rPr>
          <w:rFonts w:eastAsia="Times New Roman" w:cs="Times New Roman"/>
        </w:rPr>
        <w:t xml:space="preserve"> dell’Europa S</w:t>
      </w:r>
      <w:r w:rsidR="002B6644" w:rsidRPr="00F6434E">
        <w:rPr>
          <w:rFonts w:eastAsia="Times New Roman" w:cs="Times New Roman"/>
        </w:rPr>
        <w:t>ud</w:t>
      </w:r>
      <w:r w:rsidR="001B5B12">
        <w:rPr>
          <w:rFonts w:eastAsia="Times New Roman" w:cs="Times New Roman"/>
        </w:rPr>
        <w:t xml:space="preserve"> O</w:t>
      </w:r>
      <w:r w:rsidR="002B6644" w:rsidRPr="00F6434E">
        <w:rPr>
          <w:rFonts w:eastAsia="Times New Roman" w:cs="Times New Roman"/>
        </w:rPr>
        <w:t>rientale nel mer</w:t>
      </w:r>
      <w:r w:rsidR="001B5B12">
        <w:rPr>
          <w:rFonts w:eastAsia="Times New Roman" w:cs="Times New Roman"/>
        </w:rPr>
        <w:t>cato dei trasporti dell’</w:t>
      </w:r>
      <w:r w:rsidR="00F25599">
        <w:rPr>
          <w:rFonts w:eastAsia="Times New Roman" w:cs="Times New Roman"/>
        </w:rPr>
        <w:t>Unione Europea</w:t>
      </w:r>
      <w:r w:rsidR="002B6644" w:rsidRPr="00F6434E">
        <w:rPr>
          <w:rFonts w:eastAsia="Times New Roman" w:cs="Times New Roman"/>
        </w:rPr>
        <w:t xml:space="preserve"> sulla base del pertinente </w:t>
      </w:r>
      <w:proofErr w:type="spellStart"/>
      <w:r w:rsidR="002B6644" w:rsidRPr="000106F4">
        <w:rPr>
          <w:rFonts w:eastAsia="Times New Roman" w:cs="Times New Roman"/>
          <w:i/>
        </w:rPr>
        <w:t>acquis</w:t>
      </w:r>
      <w:proofErr w:type="spellEnd"/>
      <w:r w:rsidR="002B6644" w:rsidRPr="00F97864">
        <w:rPr>
          <w:rFonts w:eastAsia="Times New Roman" w:cs="Times New Roman"/>
        </w:rPr>
        <w:t xml:space="preserve"> </w:t>
      </w:r>
      <w:r w:rsidR="002B6644" w:rsidRPr="00F6434E">
        <w:rPr>
          <w:rFonts w:eastAsia="Times New Roman" w:cs="Times New Roman"/>
        </w:rPr>
        <w:lastRenderedPageBreak/>
        <w:t>anche in materia di norme tecniche, interoperabilità, sicurezza, gestione del traffico, politica sociale, appalti pubblici e ambiente, per tutti i modi di trasporto, escluso il trasporto aereo.</w:t>
      </w:r>
    </w:p>
    <w:p w14:paraId="5E106384" w14:textId="77777777" w:rsidR="002B6644" w:rsidRDefault="00D93A7C" w:rsidP="00F6434E">
      <w:pPr>
        <w:jc w:val="both"/>
      </w:pPr>
      <w:r>
        <w:tab/>
      </w:r>
      <w:r w:rsidR="002B6644">
        <w:t xml:space="preserve">Per quanto riguarda il trasporto ferroviario, il Trattato stabilisce il diritto di accesso, per le imprese ferroviarie titolari di licenza ottenuta in uno Stato membro dell’UE o in uno dei </w:t>
      </w:r>
      <w:r w:rsidR="00F25599">
        <w:t>Paesi</w:t>
      </w:r>
      <w:r w:rsidR="002B6644">
        <w:t xml:space="preserve"> firmatari, all’infrastruttura di tutti gli Stati membri d</w:t>
      </w:r>
      <w:r w:rsidR="001B5B12">
        <w:t xml:space="preserve">ell’UE e dei </w:t>
      </w:r>
      <w:r w:rsidR="00F25599">
        <w:t>Paesi</w:t>
      </w:r>
      <w:r w:rsidR="001B5B12">
        <w:t xml:space="preserve"> dell’Europa S</w:t>
      </w:r>
      <w:r w:rsidR="002B6644">
        <w:t>ud</w:t>
      </w:r>
      <w:r w:rsidR="001B5B12">
        <w:t xml:space="preserve"> O</w:t>
      </w:r>
      <w:r w:rsidR="002B6644">
        <w:t>rientale allo scopo di operare servizi ferroviari internazionali per il trasporto di merci o passeggeri.</w:t>
      </w:r>
    </w:p>
    <w:p w14:paraId="35C6A72E" w14:textId="77777777" w:rsidR="002B6644" w:rsidRDefault="00D93A7C" w:rsidP="00F6434E">
      <w:pPr>
        <w:jc w:val="both"/>
      </w:pPr>
      <w:r>
        <w:tab/>
      </w:r>
      <w:r w:rsidR="002B6644">
        <w:t>Circa invece il trasporto su strada, il trasporto per vie navigabili interne e il trasporto marittimo, è prevista una cooperazione tra le parti contraenti al fine di convergere verso le norme e le p</w:t>
      </w:r>
      <w:r w:rsidR="001B5B12">
        <w:t>olitiche operative dell’</w:t>
      </w:r>
      <w:r w:rsidR="00F25599">
        <w:t>Unione Europea</w:t>
      </w:r>
      <w:r w:rsidR="002B6644">
        <w:t xml:space="preserve"> nelle rispettive materie.</w:t>
      </w:r>
    </w:p>
    <w:p w14:paraId="21085C97" w14:textId="77777777" w:rsidR="002B6644" w:rsidRDefault="00D93A7C" w:rsidP="00F6434E">
      <w:pPr>
        <w:jc w:val="both"/>
      </w:pPr>
      <w:r>
        <w:tab/>
      </w:r>
      <w:r w:rsidR="002B6644">
        <w:t>Il Trattato non pregiudica il diritto di ciascu</w:t>
      </w:r>
      <w:r w:rsidR="001B5B12">
        <w:t>n Paese firmatario dell’Europa Sud O</w:t>
      </w:r>
      <w:r w:rsidR="002B6644">
        <w:t>rientale, fatta salva l’osservanza del principio di non discriminazione, di adottare unilateralmente nuove disposizioni legislative o modificare la legislazione vigente nel settore dei trasporti o in un settore ad esso associato fra quelli menzionati all’allegato I al Trattato; tali disposizioni legislative devono essere conformi al Trattato.</w:t>
      </w:r>
    </w:p>
    <w:p w14:paraId="58D4CE44" w14:textId="77777777" w:rsidR="00623E87" w:rsidRPr="00F25036" w:rsidRDefault="00D93A7C" w:rsidP="00F6434E">
      <w:pPr>
        <w:jc w:val="both"/>
      </w:pPr>
      <w:r>
        <w:tab/>
      </w:r>
      <w:r w:rsidR="00387CDB" w:rsidRPr="00D2048C">
        <w:t xml:space="preserve">Recentemente si è stabilita la sede del </w:t>
      </w:r>
      <w:r w:rsidR="00623E87" w:rsidRPr="00F25036">
        <w:t>Segretariato permanente della Comunità dei Trasporti a Belgrado</w:t>
      </w:r>
      <w:r w:rsidR="00387CDB" w:rsidRPr="00F25036">
        <w:t xml:space="preserve"> </w:t>
      </w:r>
      <w:r w:rsidR="00F25036">
        <w:t>e si prevede che lo stesso sarà pienamente operativo entro la metà del 2020</w:t>
      </w:r>
      <w:r w:rsidR="009D3F39">
        <w:t>;</w:t>
      </w:r>
      <w:r w:rsidR="00F25036">
        <w:t xml:space="preserve"> già nel 2019 hanno iniziato la loro attività 10 Comitati tecnici e si prevede anche l’istituzione di un Forum sociale.</w:t>
      </w:r>
      <w:r w:rsidR="007B65D7">
        <w:t xml:space="preserve"> </w:t>
      </w:r>
      <w:r w:rsidR="00F25036">
        <w:t>Il</w:t>
      </w:r>
      <w:r w:rsidR="00387CDB" w:rsidRPr="00F25036">
        <w:t xml:space="preserve"> budget</w:t>
      </w:r>
      <w:r w:rsidR="00D2048C" w:rsidRPr="00F63DA4">
        <w:t xml:space="preserve"> assegnato per il 2019</w:t>
      </w:r>
      <w:r w:rsidR="00387CDB" w:rsidRPr="00D2048C">
        <w:t xml:space="preserve"> </w:t>
      </w:r>
      <w:r w:rsidR="00F25036">
        <w:t>era</w:t>
      </w:r>
      <w:r w:rsidR="007B65D7">
        <w:t xml:space="preserve"> </w:t>
      </w:r>
      <w:r w:rsidR="00387CDB" w:rsidRPr="00F25036">
        <w:t xml:space="preserve">pari a </w:t>
      </w:r>
      <w:r w:rsidR="00F319D6" w:rsidRPr="00F25036">
        <w:t>1,7 milioni di euro</w:t>
      </w:r>
      <w:r w:rsidR="00F25036">
        <w:t>, mentre quello per il 2020 è</w:t>
      </w:r>
      <w:r w:rsidR="00D2048C" w:rsidRPr="00F63DA4">
        <w:t xml:space="preserve"> pari a </w:t>
      </w:r>
      <w:r w:rsidR="00F319D6" w:rsidRPr="00F25036">
        <w:t>3 milioni di euro</w:t>
      </w:r>
      <w:r w:rsidR="006F6818">
        <w:t xml:space="preserve"> </w:t>
      </w:r>
      <w:r w:rsidR="00D2048C" w:rsidRPr="00F63DA4">
        <w:t>(80% a valere sul bilancio UE e 20% sui budget nazionali dei partner)</w:t>
      </w:r>
      <w:r w:rsidR="00387CDB" w:rsidRPr="00D2048C">
        <w:t xml:space="preserve">, </w:t>
      </w:r>
      <w:r w:rsidR="00D2048C" w:rsidRPr="00F63DA4">
        <w:t>per le</w:t>
      </w:r>
      <w:r w:rsidR="007B65D7">
        <w:t xml:space="preserve"> </w:t>
      </w:r>
      <w:r w:rsidR="00387CDB" w:rsidRPr="00D2048C">
        <w:t xml:space="preserve">inziali attività </w:t>
      </w:r>
      <w:r w:rsidR="00F25036">
        <w:t xml:space="preserve">focalizzate </w:t>
      </w:r>
      <w:r w:rsidR="00623E87" w:rsidRPr="00F25036">
        <w:t xml:space="preserve">su </w:t>
      </w:r>
      <w:r w:rsidR="00387CDB" w:rsidRPr="00F25036">
        <w:t>due</w:t>
      </w:r>
      <w:r w:rsidR="00623E87" w:rsidRPr="00F25036">
        <w:t xml:space="preserve"> </w:t>
      </w:r>
      <w:r w:rsidR="00F319D6" w:rsidRPr="00F25036">
        <w:t xml:space="preserve">principali </w:t>
      </w:r>
      <w:r w:rsidR="00387CDB" w:rsidRPr="00F25036">
        <w:t>p</w:t>
      </w:r>
      <w:r w:rsidR="00623E87" w:rsidRPr="00F25036">
        <w:t>ilastri:</w:t>
      </w:r>
    </w:p>
    <w:p w14:paraId="76F9F67E" w14:textId="77777777" w:rsidR="0044165A" w:rsidRPr="000E1DCE" w:rsidRDefault="00D2048C" w:rsidP="00A0155B">
      <w:pPr>
        <w:pStyle w:val="Paragrafoelenco"/>
        <w:numPr>
          <w:ilvl w:val="0"/>
          <w:numId w:val="39"/>
        </w:numPr>
        <w:tabs>
          <w:tab w:val="left" w:pos="993"/>
        </w:tabs>
        <w:ind w:left="0" w:firstLine="709"/>
      </w:pPr>
      <w:r w:rsidRPr="00F63DA4">
        <w:t xml:space="preserve">produrre studi e </w:t>
      </w:r>
      <w:r w:rsidR="00F319D6" w:rsidRPr="00D2048C">
        <w:t>f</w:t>
      </w:r>
      <w:r w:rsidR="00387CDB" w:rsidRPr="00F25036">
        <w:t xml:space="preserve">ornire </w:t>
      </w:r>
      <w:r w:rsidR="00623E87" w:rsidRPr="00F25036">
        <w:t xml:space="preserve">assistenza </w:t>
      </w:r>
      <w:r w:rsidRPr="00F63DA4">
        <w:t xml:space="preserve">tecnica al Segretariato per </w:t>
      </w:r>
      <w:r w:rsidR="00387CDB" w:rsidRPr="00F25036">
        <w:t>l’attuazione</w:t>
      </w:r>
      <w:r w:rsidR="00623E87" w:rsidRPr="00F25036">
        <w:t xml:space="preserve"> dei progetti</w:t>
      </w:r>
      <w:r w:rsidR="00387CDB" w:rsidRPr="00F25036">
        <w:t xml:space="preserve"> infrastrutturali nella Regione</w:t>
      </w:r>
      <w:r w:rsidR="00623E87" w:rsidRPr="000E1DCE">
        <w:t>;</w:t>
      </w:r>
    </w:p>
    <w:p w14:paraId="6E724046" w14:textId="77777777" w:rsidR="005900AA" w:rsidRDefault="00F319D6" w:rsidP="00A0155B">
      <w:pPr>
        <w:pStyle w:val="Paragrafoelenco"/>
        <w:numPr>
          <w:ilvl w:val="0"/>
          <w:numId w:val="39"/>
        </w:numPr>
        <w:tabs>
          <w:tab w:val="left" w:pos="993"/>
        </w:tabs>
        <w:ind w:left="0" w:firstLine="709"/>
      </w:pPr>
      <w:r w:rsidRPr="00D2048C">
        <w:t>s</w:t>
      </w:r>
      <w:r w:rsidR="00387CDB" w:rsidRPr="00D2048C">
        <w:t>upportare la Regione nell</w:t>
      </w:r>
      <w:r w:rsidR="00623E87" w:rsidRPr="00D2048C">
        <w:t xml:space="preserve">’implementazione delle politiche </w:t>
      </w:r>
      <w:r w:rsidR="00387CDB" w:rsidRPr="00D2048C">
        <w:t>UE e nel</w:t>
      </w:r>
      <w:r w:rsidR="00623E87" w:rsidRPr="00D2048C">
        <w:t xml:space="preserve"> recepimento </w:t>
      </w:r>
      <w:r w:rsidR="00387CDB" w:rsidRPr="00D2048C">
        <w:t>della legislazione comunitaria.</w:t>
      </w:r>
    </w:p>
    <w:p w14:paraId="3018AB0D" w14:textId="77777777" w:rsidR="001B5B12" w:rsidRDefault="001B5B12" w:rsidP="006C4718">
      <w:pPr>
        <w:pStyle w:val="Paragrafoelenco"/>
        <w:ind w:left="0"/>
      </w:pPr>
    </w:p>
    <w:p w14:paraId="3D66E1AC" w14:textId="77777777" w:rsidR="006C5AEC" w:rsidRDefault="006C5AEC" w:rsidP="006C4718">
      <w:pPr>
        <w:pStyle w:val="Paragrafoelenco"/>
        <w:ind w:left="0"/>
      </w:pPr>
    </w:p>
    <w:p w14:paraId="2EEC560F" w14:textId="77777777" w:rsidR="00E35664" w:rsidRDefault="00BB3AFD" w:rsidP="006C4718">
      <w:pPr>
        <w:pStyle w:val="Paragrafoelenco"/>
        <w:ind w:left="0"/>
        <w:rPr>
          <w:b/>
          <w:bCs/>
        </w:rPr>
      </w:pPr>
      <w:r>
        <w:rPr>
          <w:b/>
          <w:bCs/>
        </w:rPr>
        <w:t>XI.3.</w:t>
      </w:r>
      <w:r w:rsidR="004B4C5E">
        <w:rPr>
          <w:b/>
          <w:bCs/>
        </w:rPr>
        <w:t>3</w:t>
      </w:r>
      <w:r>
        <w:rPr>
          <w:b/>
          <w:bCs/>
        </w:rPr>
        <w:t xml:space="preserve"> - </w:t>
      </w:r>
      <w:r w:rsidRPr="00F6434E">
        <w:rPr>
          <w:b/>
          <w:bCs/>
        </w:rPr>
        <w:t xml:space="preserve">Estensione delle </w:t>
      </w:r>
      <w:r w:rsidR="001B5B12">
        <w:rPr>
          <w:b/>
          <w:bCs/>
        </w:rPr>
        <w:t xml:space="preserve">Reti TEN-T ai </w:t>
      </w:r>
      <w:r w:rsidR="00F25599">
        <w:rPr>
          <w:b/>
          <w:bCs/>
        </w:rPr>
        <w:t>Paesi</w:t>
      </w:r>
      <w:r w:rsidRPr="00F6434E">
        <w:rPr>
          <w:b/>
          <w:bCs/>
        </w:rPr>
        <w:t xml:space="preserve"> del </w:t>
      </w:r>
      <w:r w:rsidR="006F217A">
        <w:rPr>
          <w:b/>
          <w:bCs/>
        </w:rPr>
        <w:t>Partenariato</w:t>
      </w:r>
      <w:r w:rsidR="00E35664" w:rsidRPr="00F6434E">
        <w:rPr>
          <w:b/>
          <w:bCs/>
        </w:rPr>
        <w:t xml:space="preserve"> Orientale (</w:t>
      </w:r>
      <w:r w:rsidR="00E35664" w:rsidRPr="00F6434E">
        <w:rPr>
          <w:b/>
          <w:bCs/>
          <w:i/>
        </w:rPr>
        <w:t xml:space="preserve">Eastern Partnership - </w:t>
      </w:r>
      <w:proofErr w:type="spellStart"/>
      <w:r w:rsidR="00E35664" w:rsidRPr="00F6434E">
        <w:rPr>
          <w:b/>
          <w:bCs/>
          <w:i/>
        </w:rPr>
        <w:t>E</w:t>
      </w:r>
      <w:r w:rsidR="00C1452A">
        <w:rPr>
          <w:b/>
          <w:bCs/>
          <w:i/>
        </w:rPr>
        <w:t>a</w:t>
      </w:r>
      <w:r w:rsidR="00E35664" w:rsidRPr="00F6434E">
        <w:rPr>
          <w:b/>
          <w:bCs/>
          <w:i/>
        </w:rPr>
        <w:t>P</w:t>
      </w:r>
      <w:proofErr w:type="spellEnd"/>
      <w:r w:rsidR="00E35664" w:rsidRPr="00F6434E">
        <w:rPr>
          <w:b/>
          <w:bCs/>
        </w:rPr>
        <w:t>)</w:t>
      </w:r>
    </w:p>
    <w:p w14:paraId="3BAE375F" w14:textId="77777777" w:rsidR="001B5B12" w:rsidRDefault="001B5B12" w:rsidP="006C4718">
      <w:pPr>
        <w:pStyle w:val="Paragrafoelenco"/>
        <w:ind w:left="0"/>
      </w:pPr>
    </w:p>
    <w:p w14:paraId="258EFAA6" w14:textId="77777777" w:rsidR="00E35664" w:rsidRPr="002104AE" w:rsidRDefault="00D93A7C" w:rsidP="006C4718">
      <w:pPr>
        <w:pStyle w:val="Paragrafoelenco"/>
        <w:ind w:left="0"/>
      </w:pPr>
      <w:r>
        <w:tab/>
      </w:r>
      <w:r w:rsidR="00E35664" w:rsidRPr="002104AE">
        <w:t xml:space="preserve">Il </w:t>
      </w:r>
      <w:r w:rsidR="006F217A">
        <w:t>Partenariato</w:t>
      </w:r>
      <w:r w:rsidR="00E35664" w:rsidRPr="002104AE">
        <w:t xml:space="preserve"> orientale è un programm</w:t>
      </w:r>
      <w:r w:rsidR="00F25599">
        <w:t>a di associazione che l'Unione Europea</w:t>
      </w:r>
      <w:r w:rsidR="00E35664" w:rsidRPr="002104AE">
        <w:t xml:space="preserve"> ha in corso con Armenia, Azerbaigian, Georgia, Moldavia, Ucraina e Bielorussia. Nato nel quadro della politica europea di vicinato (PEV), il progetto mira a favorire un avvicinamento di questi sei </w:t>
      </w:r>
      <w:r w:rsidR="00F25599">
        <w:t>Paesi</w:t>
      </w:r>
      <w:r w:rsidR="00E35664" w:rsidRPr="002104AE">
        <w:t xml:space="preserve"> all'</w:t>
      </w:r>
      <w:r w:rsidR="00F25599">
        <w:t>Unione Europea</w:t>
      </w:r>
      <w:r w:rsidR="00E35664" w:rsidRPr="002104AE">
        <w:t xml:space="preserve">. In questo contesto l'UE collabora con i suoi vicini meridionali e orientali per raggiungere l'associazione politica più stretta possibile e il grado più elevato possibile di integrazione economica. Il </w:t>
      </w:r>
      <w:r w:rsidR="006F217A">
        <w:t>Partenariato</w:t>
      </w:r>
      <w:r w:rsidR="00E35664" w:rsidRPr="002104AE">
        <w:t xml:space="preserve"> è stato approvato il 26 maggio 2008.</w:t>
      </w:r>
    </w:p>
    <w:p w14:paraId="7932828D" w14:textId="77777777" w:rsidR="00C1345E" w:rsidRPr="00BB3AFD" w:rsidRDefault="00D93A7C" w:rsidP="00C1345E">
      <w:pPr>
        <w:jc w:val="both"/>
        <w:rPr>
          <w:rFonts w:eastAsia="Times New Roman" w:cs="Times New Roman"/>
          <w:color w:val="auto"/>
          <w:bdr w:val="none" w:sz="0" w:space="0" w:color="auto"/>
        </w:rPr>
      </w:pPr>
      <w:r>
        <w:rPr>
          <w:rFonts w:eastAsia="Times New Roman" w:cs="Times New Roman"/>
          <w:color w:val="auto"/>
          <w:bdr w:val="none" w:sz="0" w:space="0" w:color="auto"/>
        </w:rPr>
        <w:tab/>
      </w:r>
      <w:r w:rsidR="00C1345E" w:rsidRPr="00BB3AFD">
        <w:rPr>
          <w:rFonts w:eastAsia="Times New Roman" w:cs="Times New Roman"/>
          <w:color w:val="auto"/>
          <w:bdr w:val="none" w:sz="0" w:space="0" w:color="auto"/>
        </w:rPr>
        <w:t xml:space="preserve">Il 9 ottobre 2013, nell'ambito del </w:t>
      </w:r>
      <w:r w:rsidR="006F217A">
        <w:rPr>
          <w:rFonts w:eastAsia="Times New Roman" w:cs="Times New Roman"/>
          <w:color w:val="auto"/>
          <w:bdr w:val="none" w:sz="0" w:space="0" w:color="auto"/>
        </w:rPr>
        <w:t>Partenariato</w:t>
      </w:r>
      <w:r w:rsidR="00C1345E" w:rsidRPr="00BB3AFD">
        <w:rPr>
          <w:rFonts w:eastAsia="Times New Roman" w:cs="Times New Roman"/>
          <w:color w:val="auto"/>
          <w:bdr w:val="none" w:sz="0" w:space="0" w:color="auto"/>
        </w:rPr>
        <w:t xml:space="preserve"> orientale, è stato concluso un accordo di alto livello fra l'</w:t>
      </w:r>
      <w:r w:rsidR="00F25599">
        <w:rPr>
          <w:rFonts w:eastAsia="Times New Roman" w:cs="Times New Roman"/>
          <w:color w:val="auto"/>
          <w:bdr w:val="none" w:sz="0" w:space="0" w:color="auto"/>
        </w:rPr>
        <w:t>Unione Europea</w:t>
      </w:r>
      <w:r w:rsidR="00C1345E" w:rsidRPr="00BB3AFD">
        <w:rPr>
          <w:rFonts w:eastAsia="Times New Roman" w:cs="Times New Roman"/>
          <w:color w:val="auto"/>
          <w:bdr w:val="none" w:sz="0" w:space="0" w:color="auto"/>
        </w:rPr>
        <w:t xml:space="preserve">, la </w:t>
      </w:r>
      <w:r w:rsidR="00C1345E">
        <w:rPr>
          <w:rFonts w:eastAsia="Times New Roman" w:cs="Times New Roman"/>
          <w:color w:val="auto"/>
          <w:bdr w:val="none" w:sz="0" w:space="0" w:color="auto"/>
        </w:rPr>
        <w:t>Bielorussia, l'Ucraina, la Molda</w:t>
      </w:r>
      <w:r w:rsidR="00C1345E" w:rsidRPr="00BB3AFD">
        <w:rPr>
          <w:rFonts w:eastAsia="Times New Roman" w:cs="Times New Roman"/>
          <w:color w:val="auto"/>
          <w:bdr w:val="none" w:sz="0" w:space="0" w:color="auto"/>
        </w:rPr>
        <w:t>v</w:t>
      </w:r>
      <w:r w:rsidR="00C1345E">
        <w:rPr>
          <w:rFonts w:eastAsia="Times New Roman" w:cs="Times New Roman"/>
          <w:color w:val="auto"/>
          <w:bdr w:val="none" w:sz="0" w:space="0" w:color="auto"/>
        </w:rPr>
        <w:t>i</w:t>
      </w:r>
      <w:r w:rsidR="00C1345E" w:rsidRPr="00BB3AFD">
        <w:rPr>
          <w:rFonts w:eastAsia="Times New Roman" w:cs="Times New Roman"/>
          <w:color w:val="auto"/>
          <w:bdr w:val="none" w:sz="0" w:space="0" w:color="auto"/>
        </w:rPr>
        <w:t>a, la Georgia, l'Armenia e l'Azerbaigian.</w:t>
      </w:r>
    </w:p>
    <w:p w14:paraId="21C749AB" w14:textId="77777777" w:rsidR="00C1345E" w:rsidRDefault="00C1345E" w:rsidP="00F63DA4">
      <w:pPr>
        <w:ind w:firstLine="709"/>
        <w:jc w:val="both"/>
        <w:rPr>
          <w:rFonts w:eastAsia="Times New Roman" w:cs="Times New Roman"/>
          <w:color w:val="auto"/>
          <w:bdr w:val="none" w:sz="0" w:space="0" w:color="auto"/>
        </w:rPr>
      </w:pPr>
      <w:r w:rsidRPr="008B334A">
        <w:rPr>
          <w:rFonts w:eastAsia="Times New Roman" w:cs="Times New Roman"/>
          <w:color w:val="auto"/>
          <w:bdr w:val="none" w:sz="0" w:space="0" w:color="auto"/>
        </w:rPr>
        <w:t xml:space="preserve">Gli accordi ad alto livello sull'adeguamento dell'estensione indicativa delle mappe della rete globale TEN-T e sull'identificazione dei collegamenti della rete centrale sulle mappe della rete globale sono stati firmati tra </w:t>
      </w:r>
      <w:r w:rsidRPr="00EB0AA3">
        <w:rPr>
          <w:rFonts w:eastAsia="Times New Roman" w:cs="Times New Roman"/>
          <w:color w:val="auto"/>
          <w:bdr w:val="none" w:sz="0" w:space="0" w:color="auto"/>
        </w:rPr>
        <w:t>l'Unione</w:t>
      </w:r>
      <w:r w:rsidRPr="008B334A">
        <w:rPr>
          <w:rFonts w:eastAsia="Times New Roman" w:cs="Times New Roman"/>
          <w:color w:val="auto"/>
          <w:bdr w:val="none" w:sz="0" w:space="0" w:color="auto"/>
        </w:rPr>
        <w:t xml:space="preserve"> e i </w:t>
      </w:r>
      <w:r w:rsidR="00F25599">
        <w:rPr>
          <w:rFonts w:eastAsia="Times New Roman" w:cs="Times New Roman"/>
          <w:color w:val="auto"/>
          <w:bdr w:val="none" w:sz="0" w:space="0" w:color="auto"/>
        </w:rPr>
        <w:t>Paesi</w:t>
      </w:r>
      <w:r w:rsidRPr="008B334A">
        <w:rPr>
          <w:rFonts w:eastAsia="Times New Roman" w:cs="Times New Roman"/>
          <w:color w:val="auto"/>
          <w:bdr w:val="none" w:sz="0" w:space="0" w:color="auto"/>
        </w:rPr>
        <w:t xml:space="preserve"> del </w:t>
      </w:r>
      <w:r w:rsidR="006F217A">
        <w:rPr>
          <w:rFonts w:eastAsia="Times New Roman" w:cs="Times New Roman"/>
          <w:color w:val="auto"/>
          <w:bdr w:val="none" w:sz="0" w:space="0" w:color="auto"/>
        </w:rPr>
        <w:t>Partenariato</w:t>
      </w:r>
      <w:r w:rsidRPr="008B334A">
        <w:rPr>
          <w:rFonts w:eastAsia="Times New Roman" w:cs="Times New Roman"/>
          <w:color w:val="auto"/>
          <w:bdr w:val="none" w:sz="0" w:space="0" w:color="auto"/>
        </w:rPr>
        <w:t xml:space="preserve"> orientale (Repubblica d'Armenia, Azerbaigian, Bielorussia, Repubbl</w:t>
      </w:r>
      <w:r>
        <w:rPr>
          <w:rFonts w:eastAsia="Times New Roman" w:cs="Times New Roman"/>
          <w:color w:val="auto"/>
          <w:bdr w:val="none" w:sz="0" w:space="0" w:color="auto"/>
        </w:rPr>
        <w:t xml:space="preserve">ica di Moldova e Ucraina) il 24 </w:t>
      </w:r>
      <w:r w:rsidRPr="008B334A">
        <w:rPr>
          <w:rFonts w:eastAsia="Times New Roman" w:cs="Times New Roman"/>
          <w:color w:val="auto"/>
          <w:bdr w:val="none" w:sz="0" w:space="0" w:color="auto"/>
        </w:rPr>
        <w:t xml:space="preserve">novembre 2017. L'accordo ad alto livello tra </w:t>
      </w:r>
      <w:r w:rsidRPr="00EB0AA3">
        <w:rPr>
          <w:rFonts w:eastAsia="Times New Roman" w:cs="Times New Roman"/>
          <w:color w:val="auto"/>
          <w:bdr w:val="none" w:sz="0" w:space="0" w:color="auto"/>
        </w:rPr>
        <w:t>l'Unione</w:t>
      </w:r>
      <w:r w:rsidRPr="008B334A">
        <w:rPr>
          <w:rFonts w:eastAsia="Times New Roman" w:cs="Times New Roman"/>
          <w:color w:val="auto"/>
          <w:bdr w:val="none" w:sz="0" w:space="0" w:color="auto"/>
        </w:rPr>
        <w:t xml:space="preserve"> e l</w:t>
      </w:r>
      <w:r>
        <w:rPr>
          <w:rFonts w:eastAsia="Times New Roman" w:cs="Times New Roman"/>
          <w:color w:val="auto"/>
          <w:bdr w:val="none" w:sz="0" w:space="0" w:color="auto"/>
        </w:rPr>
        <w:t xml:space="preserve">a Georgia è stato firmato il 18 </w:t>
      </w:r>
      <w:r w:rsidRPr="008B334A">
        <w:rPr>
          <w:rFonts w:eastAsia="Times New Roman" w:cs="Times New Roman"/>
          <w:color w:val="auto"/>
          <w:bdr w:val="none" w:sz="0" w:space="0" w:color="auto"/>
        </w:rPr>
        <w:t xml:space="preserve">luglio 2018. </w:t>
      </w:r>
      <w:r>
        <w:rPr>
          <w:rFonts w:eastAsia="Times New Roman" w:cs="Times New Roman"/>
          <w:color w:val="auto"/>
          <w:bdr w:val="none" w:sz="0" w:space="0" w:color="auto"/>
        </w:rPr>
        <w:t>Tali</w:t>
      </w:r>
      <w:r w:rsidRPr="008B334A">
        <w:rPr>
          <w:rFonts w:eastAsia="Times New Roman" w:cs="Times New Roman"/>
          <w:color w:val="auto"/>
          <w:bdr w:val="none" w:sz="0" w:space="0" w:color="auto"/>
        </w:rPr>
        <w:t xml:space="preserve"> accordi riguardano le linee delle reti stradali e ferroviarie</w:t>
      </w:r>
      <w:r>
        <w:rPr>
          <w:rFonts w:eastAsia="Times New Roman" w:cs="Times New Roman"/>
          <w:color w:val="auto"/>
          <w:bdr w:val="none" w:sz="0" w:space="0" w:color="auto"/>
        </w:rPr>
        <w:t xml:space="preserve"> nonché i porti e gli aeroporti; </w:t>
      </w:r>
      <w:r w:rsidRPr="00BB3AFD">
        <w:rPr>
          <w:rFonts w:eastAsia="Times New Roman" w:cs="Times New Roman"/>
          <w:color w:val="auto"/>
          <w:bdr w:val="none" w:sz="0" w:space="0" w:color="auto"/>
        </w:rPr>
        <w:t>pertanto</w:t>
      </w:r>
      <w:r w:rsidR="002D4FDD">
        <w:rPr>
          <w:rFonts w:eastAsia="Times New Roman" w:cs="Times New Roman"/>
          <w:color w:val="auto"/>
          <w:bdr w:val="none" w:sz="0" w:space="0" w:color="auto"/>
        </w:rPr>
        <w:t>, è</w:t>
      </w:r>
      <w:r w:rsidRPr="00BB3AFD">
        <w:rPr>
          <w:rFonts w:eastAsia="Times New Roman" w:cs="Times New Roman"/>
          <w:color w:val="auto"/>
          <w:bdr w:val="none" w:sz="0" w:space="0" w:color="auto"/>
        </w:rPr>
        <w:t xml:space="preserve"> </w:t>
      </w:r>
      <w:r>
        <w:rPr>
          <w:rFonts w:eastAsia="Times New Roman" w:cs="Times New Roman"/>
          <w:color w:val="auto"/>
          <w:bdr w:val="none" w:sz="0" w:space="0" w:color="auto"/>
        </w:rPr>
        <w:t xml:space="preserve">stato deciso di </w:t>
      </w:r>
      <w:r w:rsidR="00DF7674">
        <w:rPr>
          <w:rFonts w:eastAsia="Times New Roman" w:cs="Times New Roman"/>
          <w:color w:val="auto"/>
          <w:bdr w:val="none" w:sz="0" w:space="0" w:color="auto"/>
        </w:rPr>
        <w:t>modificare il R</w:t>
      </w:r>
      <w:r w:rsidRPr="00BB3AFD">
        <w:rPr>
          <w:rFonts w:eastAsia="Times New Roman" w:cs="Times New Roman"/>
          <w:color w:val="auto"/>
          <w:bdr w:val="none" w:sz="0" w:space="0" w:color="auto"/>
        </w:rPr>
        <w:t>egolamento (UE) n. 1315/2013</w:t>
      </w:r>
      <w:r>
        <w:rPr>
          <w:rFonts w:eastAsia="Times New Roman" w:cs="Times New Roman"/>
          <w:color w:val="auto"/>
          <w:bdr w:val="none" w:sz="0" w:space="0" w:color="auto"/>
        </w:rPr>
        <w:t xml:space="preserve"> con l</w:t>
      </w:r>
      <w:r w:rsidRPr="008B334A">
        <w:rPr>
          <w:rFonts w:eastAsia="Times New Roman" w:cs="Times New Roman"/>
          <w:color w:val="auto"/>
          <w:bdr w:val="none" w:sz="0" w:space="0" w:color="auto"/>
        </w:rPr>
        <w:t>'adeguamento delle mappe indicative della rete globale e</w:t>
      </w:r>
      <w:r w:rsidR="002D4FDD">
        <w:rPr>
          <w:rFonts w:eastAsia="Times New Roman" w:cs="Times New Roman"/>
          <w:color w:val="auto"/>
          <w:bdr w:val="none" w:sz="0" w:space="0" w:color="auto"/>
        </w:rPr>
        <w:t>d</w:t>
      </w:r>
      <w:r w:rsidRPr="008B334A">
        <w:rPr>
          <w:rFonts w:eastAsia="Times New Roman" w:cs="Times New Roman"/>
          <w:color w:val="auto"/>
          <w:bdr w:val="none" w:sz="0" w:space="0" w:color="auto"/>
        </w:rPr>
        <w:t>, in particolare, l'identificazione della rete centrale</w:t>
      </w:r>
      <w:r>
        <w:rPr>
          <w:rFonts w:eastAsia="Times New Roman" w:cs="Times New Roman"/>
          <w:color w:val="auto"/>
          <w:bdr w:val="none" w:sz="0" w:space="0" w:color="auto"/>
        </w:rPr>
        <w:t>, approvat</w:t>
      </w:r>
      <w:r w:rsidR="002D4FDD">
        <w:rPr>
          <w:rFonts w:eastAsia="Times New Roman" w:cs="Times New Roman"/>
          <w:color w:val="auto"/>
          <w:bdr w:val="none" w:sz="0" w:space="0" w:color="auto"/>
        </w:rPr>
        <w:t>a</w:t>
      </w:r>
      <w:r>
        <w:rPr>
          <w:rFonts w:eastAsia="Times New Roman" w:cs="Times New Roman"/>
          <w:color w:val="auto"/>
          <w:bdr w:val="none" w:sz="0" w:space="0" w:color="auto"/>
        </w:rPr>
        <w:t xml:space="preserve"> con regolamento d</w:t>
      </w:r>
      <w:r w:rsidR="0041181F">
        <w:rPr>
          <w:rFonts w:eastAsia="Times New Roman" w:cs="Times New Roman"/>
          <w:color w:val="auto"/>
          <w:bdr w:val="none" w:sz="0" w:space="0" w:color="auto"/>
        </w:rPr>
        <w:t xml:space="preserve">elegato (UE) 254 del 2019 del 9 novembre </w:t>
      </w:r>
      <w:r>
        <w:rPr>
          <w:rFonts w:eastAsia="Times New Roman" w:cs="Times New Roman"/>
          <w:color w:val="auto"/>
          <w:bdr w:val="none" w:sz="0" w:space="0" w:color="auto"/>
        </w:rPr>
        <w:t>2018,</w:t>
      </w:r>
      <w:r w:rsidRPr="008B334A">
        <w:rPr>
          <w:rFonts w:eastAsia="Times New Roman" w:cs="Times New Roman"/>
          <w:color w:val="auto"/>
          <w:bdr w:val="none" w:sz="0" w:space="0" w:color="auto"/>
        </w:rPr>
        <w:t xml:space="preserve"> </w:t>
      </w:r>
      <w:r>
        <w:rPr>
          <w:rFonts w:eastAsia="Times New Roman" w:cs="Times New Roman"/>
          <w:color w:val="auto"/>
          <w:bdr w:val="none" w:sz="0" w:space="0" w:color="auto"/>
        </w:rPr>
        <w:t xml:space="preserve">con l’obiettivo di </w:t>
      </w:r>
      <w:r w:rsidRPr="008B334A">
        <w:rPr>
          <w:rFonts w:eastAsia="Times New Roman" w:cs="Times New Roman"/>
          <w:color w:val="auto"/>
          <w:bdr w:val="none" w:sz="0" w:space="0" w:color="auto"/>
        </w:rPr>
        <w:t>permettere all'</w:t>
      </w:r>
      <w:r w:rsidRPr="00EB0AA3">
        <w:rPr>
          <w:rFonts w:eastAsia="Times New Roman" w:cs="Times New Roman"/>
          <w:color w:val="auto"/>
          <w:bdr w:val="none" w:sz="0" w:space="0" w:color="auto"/>
        </w:rPr>
        <w:t>Unione</w:t>
      </w:r>
      <w:r w:rsidRPr="008B334A">
        <w:rPr>
          <w:rFonts w:eastAsia="Times New Roman" w:cs="Times New Roman"/>
          <w:color w:val="auto"/>
          <w:bdr w:val="none" w:sz="0" w:space="0" w:color="auto"/>
        </w:rPr>
        <w:t xml:space="preserve"> di orientare meglio la cooperazione con i </w:t>
      </w:r>
      <w:r w:rsidR="00F25599">
        <w:rPr>
          <w:rFonts w:eastAsia="Times New Roman" w:cs="Times New Roman"/>
          <w:color w:val="auto"/>
          <w:bdr w:val="none" w:sz="0" w:space="0" w:color="auto"/>
        </w:rPr>
        <w:t>Paesi</w:t>
      </w:r>
      <w:r w:rsidRPr="008B334A">
        <w:rPr>
          <w:rFonts w:eastAsia="Times New Roman" w:cs="Times New Roman"/>
          <w:color w:val="auto"/>
          <w:bdr w:val="none" w:sz="0" w:space="0" w:color="auto"/>
        </w:rPr>
        <w:t xml:space="preserve"> del </w:t>
      </w:r>
      <w:r w:rsidR="006F217A">
        <w:rPr>
          <w:rFonts w:eastAsia="Times New Roman" w:cs="Times New Roman"/>
          <w:color w:val="auto"/>
          <w:bdr w:val="none" w:sz="0" w:space="0" w:color="auto"/>
        </w:rPr>
        <w:t>Partenariato</w:t>
      </w:r>
      <w:r w:rsidRPr="008B334A">
        <w:rPr>
          <w:rFonts w:eastAsia="Times New Roman" w:cs="Times New Roman"/>
          <w:color w:val="auto"/>
          <w:bdr w:val="none" w:sz="0" w:space="0" w:color="auto"/>
        </w:rPr>
        <w:t xml:space="preserve"> orientale interessati</w:t>
      </w:r>
      <w:r>
        <w:rPr>
          <w:rFonts w:eastAsia="Times New Roman" w:cs="Times New Roman"/>
          <w:color w:val="auto"/>
          <w:bdr w:val="none" w:sz="0" w:space="0" w:color="auto"/>
        </w:rPr>
        <w:t>.</w:t>
      </w:r>
    </w:p>
    <w:p w14:paraId="7561F511" w14:textId="77777777" w:rsidR="000B0432" w:rsidRPr="006C5AEC" w:rsidRDefault="000E1DCE" w:rsidP="00F63DA4">
      <w:pPr>
        <w:pStyle w:val="Paragrafoelenco"/>
        <w:ind w:left="0" w:firstLine="709"/>
        <w:rPr>
          <w:color w:val="auto"/>
          <w:bdr w:val="none" w:sz="0" w:space="0" w:color="auto"/>
        </w:rPr>
      </w:pPr>
      <w:r w:rsidRPr="00F63DA4">
        <w:rPr>
          <w:color w:val="auto"/>
          <w:bdr w:val="none" w:sz="0" w:space="0" w:color="auto"/>
        </w:rPr>
        <w:t>A seguito della decisione di estendere le reti TEN-T verso i 6 Paesi del Partenariato orientale è stata sottoscritta</w:t>
      </w:r>
      <w:r w:rsidR="009D3F39" w:rsidRPr="00F63DA4">
        <w:rPr>
          <w:color w:val="auto"/>
          <w:bdr w:val="none" w:sz="0" w:space="0" w:color="auto"/>
        </w:rPr>
        <w:t>, a giugno 2019,</w:t>
      </w:r>
      <w:r w:rsidRPr="00F63DA4">
        <w:rPr>
          <w:color w:val="auto"/>
          <w:bdr w:val="none" w:sz="0" w:space="0" w:color="auto"/>
        </w:rPr>
        <w:t xml:space="preserve"> una Dichiarazione di cooperazione</w:t>
      </w:r>
      <w:r w:rsidR="002D4FDD" w:rsidRPr="002D4FDD">
        <w:rPr>
          <w:color w:val="auto"/>
          <w:bdr w:val="none" w:sz="0" w:space="0" w:color="auto"/>
        </w:rPr>
        <w:t xml:space="preserve"> </w:t>
      </w:r>
      <w:r w:rsidR="002D4FDD" w:rsidRPr="00F63DA4">
        <w:rPr>
          <w:color w:val="auto"/>
          <w:bdr w:val="none" w:sz="0" w:space="0" w:color="auto"/>
        </w:rPr>
        <w:t>congiunta</w:t>
      </w:r>
      <w:r w:rsidRPr="00F63DA4">
        <w:rPr>
          <w:color w:val="auto"/>
          <w:bdr w:val="none" w:sz="0" w:space="0" w:color="auto"/>
        </w:rPr>
        <w:t xml:space="preserve"> tra i Paesi del Partenariato Orientale ed è stato sviluppato anche un piano di investimenti detto “</w:t>
      </w:r>
      <w:r w:rsidRPr="002D4FDD">
        <w:rPr>
          <w:i/>
          <w:color w:val="auto"/>
          <w:bdr w:val="none" w:sz="0" w:space="0" w:color="auto"/>
        </w:rPr>
        <w:t>Eastern Partnership Investment Plan</w:t>
      </w:r>
      <w:r w:rsidRPr="00F63DA4">
        <w:rPr>
          <w:color w:val="auto"/>
          <w:bdr w:val="none" w:sz="0" w:space="0" w:color="auto"/>
        </w:rPr>
        <w:t>”</w:t>
      </w:r>
      <w:r w:rsidR="000B0432" w:rsidRPr="00F63DA4">
        <w:rPr>
          <w:color w:val="auto"/>
          <w:bdr w:val="none" w:sz="0" w:space="0" w:color="auto"/>
        </w:rPr>
        <w:t>,</w:t>
      </w:r>
      <w:r w:rsidRPr="00F63DA4">
        <w:rPr>
          <w:color w:val="auto"/>
          <w:bdr w:val="none" w:sz="0" w:space="0" w:color="auto"/>
        </w:rPr>
        <w:t xml:space="preserve"> pubblicato a dicembre 2018</w:t>
      </w:r>
      <w:r w:rsidR="000B0432" w:rsidRPr="00F63DA4">
        <w:rPr>
          <w:color w:val="auto"/>
          <w:bdr w:val="none" w:sz="0" w:space="0" w:color="auto"/>
        </w:rPr>
        <w:t>,</w:t>
      </w:r>
      <w:r w:rsidRPr="00F63DA4">
        <w:rPr>
          <w:color w:val="auto"/>
          <w:bdr w:val="none" w:sz="0" w:space="0" w:color="auto"/>
        </w:rPr>
        <w:t xml:space="preserve"> con l’obiettivo di </w:t>
      </w:r>
      <w:r w:rsidR="002D4FDD" w:rsidRPr="006C5AEC">
        <w:rPr>
          <w:color w:val="auto"/>
          <w:bdr w:val="none" w:sz="0" w:space="0" w:color="auto"/>
        </w:rPr>
        <w:t>individuare</w:t>
      </w:r>
      <w:r w:rsidRPr="006C5AEC">
        <w:rPr>
          <w:color w:val="auto"/>
          <w:bdr w:val="none" w:sz="0" w:space="0" w:color="auto"/>
        </w:rPr>
        <w:t xml:space="preserve"> gli investimenti prioritari necessari per il completamento della rete TEN-T, allineando le azioni dei Paesi U</w:t>
      </w:r>
      <w:r w:rsidR="00703B4F" w:rsidRPr="006C5AEC">
        <w:rPr>
          <w:color w:val="auto"/>
          <w:bdr w:val="none" w:sz="0" w:space="0" w:color="auto"/>
        </w:rPr>
        <w:t>E</w:t>
      </w:r>
      <w:r w:rsidRPr="006C5AEC">
        <w:rPr>
          <w:color w:val="auto"/>
          <w:bdr w:val="none" w:sz="0" w:space="0" w:color="auto"/>
        </w:rPr>
        <w:t xml:space="preserve"> </w:t>
      </w:r>
      <w:r w:rsidR="000B0432" w:rsidRPr="006C5AEC">
        <w:rPr>
          <w:color w:val="auto"/>
          <w:bdr w:val="none" w:sz="0" w:space="0" w:color="auto"/>
        </w:rPr>
        <w:t>a</w:t>
      </w:r>
      <w:r w:rsidRPr="006C5AEC">
        <w:rPr>
          <w:color w:val="auto"/>
          <w:bdr w:val="none" w:sz="0" w:space="0" w:color="auto"/>
        </w:rPr>
        <w:t xml:space="preserve"> quelli de</w:t>
      </w:r>
      <w:r w:rsidR="009D3F39" w:rsidRPr="006C5AEC">
        <w:rPr>
          <w:color w:val="auto"/>
          <w:bdr w:val="none" w:sz="0" w:space="0" w:color="auto"/>
        </w:rPr>
        <w:t>l Partenariato Orientale.</w:t>
      </w:r>
    </w:p>
    <w:p w14:paraId="4A03861C" w14:textId="77777777" w:rsidR="00D30C1F" w:rsidRDefault="00E76C8E" w:rsidP="007B65D7">
      <w:pPr>
        <w:pStyle w:val="Paragrafoelenco"/>
        <w:ind w:left="0" w:firstLine="709"/>
        <w:rPr>
          <w:color w:val="auto"/>
          <w:bdr w:val="none" w:sz="0" w:space="0" w:color="auto"/>
        </w:rPr>
      </w:pPr>
      <w:r w:rsidRPr="006C5AEC">
        <w:rPr>
          <w:color w:val="auto"/>
          <w:bdr w:val="none" w:sz="0" w:space="0" w:color="auto"/>
        </w:rPr>
        <w:t>Preme segnalare che le attività di preparazione dei progetti (ivi incluse</w:t>
      </w:r>
      <w:r w:rsidR="000B0432" w:rsidRPr="006C5AEC">
        <w:rPr>
          <w:color w:val="auto"/>
          <w:bdr w:val="none" w:sz="0" w:space="0" w:color="auto"/>
        </w:rPr>
        <w:t xml:space="preserve"> le</w:t>
      </w:r>
      <w:r w:rsidRPr="006C5AEC">
        <w:rPr>
          <w:color w:val="auto"/>
          <w:bdr w:val="none" w:sz="0" w:space="0" w:color="auto"/>
        </w:rPr>
        <w:t xml:space="preserve"> attività di assistenza tecnica)</w:t>
      </w:r>
      <w:r w:rsidR="000B0432" w:rsidRPr="006C5AEC">
        <w:rPr>
          <w:color w:val="auto"/>
          <w:bdr w:val="none" w:sz="0" w:space="0" w:color="auto"/>
        </w:rPr>
        <w:t>,</w:t>
      </w:r>
      <w:r w:rsidRPr="006C5AEC">
        <w:rPr>
          <w:color w:val="auto"/>
          <w:bdr w:val="none" w:sz="0" w:space="0" w:color="auto"/>
        </w:rPr>
        <w:t xml:space="preserve"> previste dal suddetto piano</w:t>
      </w:r>
      <w:r w:rsidR="000B0432" w:rsidRPr="006C5AEC">
        <w:rPr>
          <w:color w:val="auto"/>
          <w:bdr w:val="none" w:sz="0" w:space="0" w:color="auto"/>
        </w:rPr>
        <w:t>,</w:t>
      </w:r>
      <w:r w:rsidRPr="006C5AEC">
        <w:rPr>
          <w:color w:val="auto"/>
          <w:bdr w:val="none" w:sz="0" w:space="0" w:color="auto"/>
        </w:rPr>
        <w:t xml:space="preserve"> non sono finanziate attraverso </w:t>
      </w:r>
      <w:r w:rsidRPr="00F63DA4">
        <w:rPr>
          <w:color w:val="auto"/>
          <w:bdr w:val="none" w:sz="0" w:space="0" w:color="auto"/>
        </w:rPr>
        <w:t xml:space="preserve">lo strumento </w:t>
      </w:r>
      <w:proofErr w:type="spellStart"/>
      <w:r w:rsidRPr="00F63DA4">
        <w:rPr>
          <w:i/>
          <w:color w:val="auto"/>
          <w:bdr w:val="none" w:sz="0" w:space="0" w:color="auto"/>
        </w:rPr>
        <w:t>Connecting</w:t>
      </w:r>
      <w:proofErr w:type="spellEnd"/>
      <w:r w:rsidRPr="00F63DA4">
        <w:rPr>
          <w:i/>
          <w:color w:val="auto"/>
          <w:bdr w:val="none" w:sz="0" w:space="0" w:color="auto"/>
        </w:rPr>
        <w:t xml:space="preserve"> Europe Facility</w:t>
      </w:r>
      <w:r w:rsidRPr="00F63DA4">
        <w:rPr>
          <w:color w:val="auto"/>
          <w:bdr w:val="none" w:sz="0" w:space="0" w:color="auto"/>
        </w:rPr>
        <w:t xml:space="preserve"> </w:t>
      </w:r>
      <w:r w:rsidR="000B0432" w:rsidRPr="00F63DA4">
        <w:rPr>
          <w:color w:val="auto"/>
          <w:bdr w:val="none" w:sz="0" w:space="0" w:color="auto"/>
        </w:rPr>
        <w:t>bensì attraverso</w:t>
      </w:r>
      <w:r w:rsidRPr="00F63DA4">
        <w:rPr>
          <w:color w:val="auto"/>
          <w:bdr w:val="none" w:sz="0" w:space="0" w:color="auto"/>
        </w:rPr>
        <w:t xml:space="preserve"> finanziamenti a valere sui programmi per le politiche europee di vicinato. </w:t>
      </w:r>
      <w:r w:rsidR="000E1DCE" w:rsidRPr="00F63DA4">
        <w:rPr>
          <w:color w:val="auto"/>
          <w:bdr w:val="none" w:sz="0" w:space="0" w:color="auto"/>
        </w:rPr>
        <w:t xml:space="preserve">Le priorità di investimento includono anche </w:t>
      </w:r>
      <w:r w:rsidR="002D4FDD">
        <w:rPr>
          <w:color w:val="auto"/>
          <w:bdr w:val="none" w:sz="0" w:space="0" w:color="auto"/>
        </w:rPr>
        <w:t>temi strategici quali il</w:t>
      </w:r>
      <w:r w:rsidR="000B0432" w:rsidRPr="00F63DA4">
        <w:rPr>
          <w:color w:val="auto"/>
          <w:bdr w:val="none" w:sz="0" w:space="0" w:color="auto"/>
        </w:rPr>
        <w:t xml:space="preserve"> miglioramento degli </w:t>
      </w:r>
      <w:r w:rsidR="000E1DCE" w:rsidRPr="00F63DA4">
        <w:rPr>
          <w:color w:val="auto"/>
          <w:bdr w:val="none" w:sz="0" w:space="0" w:color="auto"/>
        </w:rPr>
        <w:t xml:space="preserve">attraversamenti di frontiera, </w:t>
      </w:r>
      <w:r w:rsidR="002D4FDD">
        <w:rPr>
          <w:color w:val="auto"/>
          <w:bdr w:val="none" w:sz="0" w:space="0" w:color="auto"/>
        </w:rPr>
        <w:t xml:space="preserve">la </w:t>
      </w:r>
      <w:r w:rsidR="000B0432" w:rsidRPr="00F63DA4">
        <w:rPr>
          <w:color w:val="auto"/>
          <w:bdr w:val="none" w:sz="0" w:space="0" w:color="auto"/>
        </w:rPr>
        <w:t>multimodalità</w:t>
      </w:r>
      <w:r w:rsidR="000E1DCE" w:rsidRPr="00F63DA4">
        <w:rPr>
          <w:color w:val="auto"/>
          <w:bdr w:val="none" w:sz="0" w:space="0" w:color="auto"/>
        </w:rPr>
        <w:t xml:space="preserve"> e </w:t>
      </w:r>
      <w:r w:rsidR="002D4FDD">
        <w:rPr>
          <w:color w:val="auto"/>
          <w:bdr w:val="none" w:sz="0" w:space="0" w:color="auto"/>
        </w:rPr>
        <w:t xml:space="preserve">la </w:t>
      </w:r>
      <w:r w:rsidR="000E1DCE" w:rsidRPr="00F63DA4">
        <w:rPr>
          <w:color w:val="auto"/>
          <w:bdr w:val="none" w:sz="0" w:space="0" w:color="auto"/>
        </w:rPr>
        <w:t xml:space="preserve">sicurezza stradale. </w:t>
      </w:r>
      <w:r w:rsidRPr="00F63DA4">
        <w:rPr>
          <w:color w:val="auto"/>
          <w:bdr w:val="none" w:sz="0" w:space="0" w:color="auto"/>
        </w:rPr>
        <w:t>Esse</w:t>
      </w:r>
      <w:r w:rsidR="000E1DCE" w:rsidRPr="00F63DA4">
        <w:rPr>
          <w:color w:val="auto"/>
          <w:bdr w:val="none" w:sz="0" w:space="0" w:color="auto"/>
        </w:rPr>
        <w:t xml:space="preserve"> sono frutto di un continuo processo di consultazione con i </w:t>
      </w:r>
      <w:r w:rsidR="000B0432" w:rsidRPr="00F63DA4">
        <w:rPr>
          <w:color w:val="auto"/>
          <w:bdr w:val="none" w:sz="0" w:space="0" w:color="auto"/>
        </w:rPr>
        <w:t>G</w:t>
      </w:r>
      <w:r w:rsidR="000E1DCE" w:rsidRPr="00F63DA4">
        <w:rPr>
          <w:color w:val="auto"/>
          <w:bdr w:val="none" w:sz="0" w:space="0" w:color="auto"/>
        </w:rPr>
        <w:t>overni e sono state identificate e valutate secondo criteri strategici di economicità</w:t>
      </w:r>
      <w:r w:rsidR="000B0432" w:rsidRPr="00F63DA4">
        <w:rPr>
          <w:color w:val="auto"/>
          <w:bdr w:val="none" w:sz="0" w:space="0" w:color="auto"/>
        </w:rPr>
        <w:t xml:space="preserve"> e</w:t>
      </w:r>
      <w:r w:rsidR="000E1DCE" w:rsidRPr="00F63DA4">
        <w:rPr>
          <w:color w:val="auto"/>
          <w:bdr w:val="none" w:sz="0" w:space="0" w:color="auto"/>
        </w:rPr>
        <w:t xml:space="preserve"> disponibilità di finanziamenti </w:t>
      </w:r>
      <w:r w:rsidR="00C279A7" w:rsidRPr="00C279A7">
        <w:rPr>
          <w:color w:val="auto"/>
          <w:bdr w:val="none" w:sz="0" w:space="0" w:color="auto"/>
        </w:rPr>
        <w:t>nonché</w:t>
      </w:r>
      <w:r w:rsidR="00C1345E" w:rsidRPr="00F63DA4">
        <w:rPr>
          <w:color w:val="auto"/>
          <w:bdr w:val="none" w:sz="0" w:space="0" w:color="auto"/>
        </w:rPr>
        <w:t xml:space="preserve"> </w:t>
      </w:r>
      <w:r w:rsidR="002D4FDD">
        <w:rPr>
          <w:color w:val="auto"/>
          <w:bdr w:val="none" w:sz="0" w:space="0" w:color="auto"/>
        </w:rPr>
        <w:t xml:space="preserve">di </w:t>
      </w:r>
      <w:r w:rsidR="00C1345E" w:rsidRPr="00F63DA4">
        <w:rPr>
          <w:color w:val="auto"/>
          <w:bdr w:val="none" w:sz="0" w:space="0" w:color="auto"/>
        </w:rPr>
        <w:t>criteri ambientali e sociali.</w:t>
      </w:r>
    </w:p>
    <w:p w14:paraId="043CC09C" w14:textId="77777777" w:rsidR="000C6189" w:rsidRDefault="000C6189" w:rsidP="006C4718">
      <w:pPr>
        <w:pStyle w:val="Paragrafoelenco"/>
        <w:ind w:left="0"/>
        <w:rPr>
          <w:b/>
          <w:bCs/>
        </w:rPr>
      </w:pPr>
    </w:p>
    <w:p w14:paraId="29B5CB62" w14:textId="77777777" w:rsidR="006C5AEC" w:rsidRDefault="006C5AEC" w:rsidP="006C4718">
      <w:pPr>
        <w:pStyle w:val="Paragrafoelenco"/>
        <w:ind w:left="0"/>
        <w:rPr>
          <w:b/>
          <w:bCs/>
        </w:rPr>
      </w:pPr>
    </w:p>
    <w:p w14:paraId="3E48369C" w14:textId="77777777" w:rsidR="00C172B5" w:rsidRDefault="00E562AD" w:rsidP="006C4718">
      <w:pPr>
        <w:pStyle w:val="Paragrafoelenco"/>
        <w:ind w:left="0"/>
        <w:rPr>
          <w:b/>
          <w:bCs/>
        </w:rPr>
      </w:pPr>
      <w:r>
        <w:rPr>
          <w:b/>
          <w:bCs/>
        </w:rPr>
        <w:t>XI.3.</w:t>
      </w:r>
      <w:r w:rsidR="004B4C5E">
        <w:rPr>
          <w:b/>
          <w:bCs/>
        </w:rPr>
        <w:t>4</w:t>
      </w:r>
      <w:r>
        <w:rPr>
          <w:b/>
          <w:bCs/>
        </w:rPr>
        <w:t xml:space="preserve"> - </w:t>
      </w:r>
      <w:r w:rsidR="00C6166A" w:rsidRPr="00BE0FA5">
        <w:rPr>
          <w:b/>
          <w:bCs/>
        </w:rPr>
        <w:t>Strategia Europea per la Macroregione Adriatico Ionica (EUSAIR)</w:t>
      </w:r>
    </w:p>
    <w:p w14:paraId="7363C780" w14:textId="77777777" w:rsidR="007B65D7" w:rsidRDefault="007B65D7" w:rsidP="006C4718">
      <w:pPr>
        <w:pStyle w:val="Paragrafoelenco"/>
        <w:ind w:left="0"/>
        <w:rPr>
          <w:b/>
          <w:bCs/>
        </w:rPr>
      </w:pPr>
    </w:p>
    <w:p w14:paraId="55E9689E" w14:textId="77777777" w:rsidR="00B0651E" w:rsidRDefault="00B0651E" w:rsidP="00F63DA4">
      <w:pPr>
        <w:pStyle w:val="Paragrafoelenco"/>
        <w:ind w:left="0" w:firstLine="720"/>
      </w:pPr>
      <w:r>
        <w:t>Nell’ambito della cooperazione regionale</w:t>
      </w:r>
      <w:r w:rsidR="002D4FDD">
        <w:t>,</w:t>
      </w:r>
      <w:r>
        <w:t xml:space="preserve"> la strategia </w:t>
      </w:r>
      <w:proofErr w:type="gramStart"/>
      <w:r>
        <w:t>Macro-regionale</w:t>
      </w:r>
      <w:proofErr w:type="gramEnd"/>
      <w:r>
        <w:t xml:space="preserve"> per la Regione Adriatico Ionica (EUSAIR)</w:t>
      </w:r>
      <w:r w:rsidR="00115501">
        <w:t>,</w:t>
      </w:r>
      <w:r>
        <w:t xml:space="preserve"> approvata nel corso del Consiglio Europeo del 23-24 ottobre 2014, </w:t>
      </w:r>
      <w:r w:rsidR="00115501">
        <w:t>riveste particolare importanza. Ad essa partecipano</w:t>
      </w:r>
      <w:r>
        <w:t xml:space="preserve">, oltre all’Italia, la Croazia, la Slovenia, l’Albania, il Montenegro, la Serbia, la Grecia, la Bosnia e l’Erzegovina e, a partire da </w:t>
      </w:r>
      <w:proofErr w:type="gramStart"/>
      <w:r>
        <w:t>Aprile</w:t>
      </w:r>
      <w:proofErr w:type="gramEnd"/>
      <w:r>
        <w:t xml:space="preserve"> 2020, la Macedonia del Nord.</w:t>
      </w:r>
    </w:p>
    <w:p w14:paraId="765F5D9F" w14:textId="77777777" w:rsidR="00B0651E" w:rsidRDefault="00B0651E" w:rsidP="00F63DA4">
      <w:pPr>
        <w:pStyle w:val="Paragrafoelenco"/>
        <w:ind w:left="0" w:firstLine="720"/>
      </w:pPr>
      <w:r>
        <w:t>Tale strategia si basa su quattro grandi aree tematiche, chiamate Pilastri, ciascuna delle quali coordinata da una coppia di Paesi: Pillar 1 “</w:t>
      </w:r>
      <w:r w:rsidRPr="00450E48">
        <w:rPr>
          <w:i/>
        </w:rPr>
        <w:t xml:space="preserve">Blue </w:t>
      </w:r>
      <w:proofErr w:type="spellStart"/>
      <w:r w:rsidRPr="00450E48">
        <w:rPr>
          <w:i/>
        </w:rPr>
        <w:t>growth</w:t>
      </w:r>
      <w:proofErr w:type="spellEnd"/>
      <w:r w:rsidRPr="00B0651E">
        <w:t>”, Pillar 2 “</w:t>
      </w:r>
      <w:proofErr w:type="spellStart"/>
      <w:r w:rsidRPr="00450E48">
        <w:rPr>
          <w:i/>
        </w:rPr>
        <w:t>Connecting</w:t>
      </w:r>
      <w:proofErr w:type="spellEnd"/>
      <w:r w:rsidRPr="00450E48">
        <w:rPr>
          <w:i/>
        </w:rPr>
        <w:t xml:space="preserve"> the </w:t>
      </w:r>
      <w:proofErr w:type="spellStart"/>
      <w:r w:rsidRPr="00450E48">
        <w:rPr>
          <w:i/>
        </w:rPr>
        <w:t>Region</w:t>
      </w:r>
      <w:proofErr w:type="spellEnd"/>
      <w:r w:rsidRPr="00B0651E">
        <w:t>”, Pillar 3 “</w:t>
      </w:r>
      <w:proofErr w:type="spellStart"/>
      <w:r w:rsidRPr="00450E48">
        <w:rPr>
          <w:i/>
        </w:rPr>
        <w:t>Environmental</w:t>
      </w:r>
      <w:proofErr w:type="spellEnd"/>
      <w:r w:rsidRPr="00450E48">
        <w:rPr>
          <w:i/>
        </w:rPr>
        <w:t xml:space="preserve"> </w:t>
      </w:r>
      <w:proofErr w:type="spellStart"/>
      <w:r w:rsidRPr="00450E48">
        <w:rPr>
          <w:i/>
        </w:rPr>
        <w:t>quality</w:t>
      </w:r>
      <w:proofErr w:type="spellEnd"/>
      <w:r w:rsidRPr="00B0651E">
        <w:t>” e Pillar 4 “</w:t>
      </w:r>
      <w:proofErr w:type="spellStart"/>
      <w:r w:rsidRPr="00450E48">
        <w:rPr>
          <w:i/>
        </w:rPr>
        <w:t>Sustainable</w:t>
      </w:r>
      <w:proofErr w:type="spellEnd"/>
      <w:r w:rsidRPr="00450E48">
        <w:rPr>
          <w:i/>
        </w:rPr>
        <w:t xml:space="preserve"> </w:t>
      </w:r>
      <w:proofErr w:type="spellStart"/>
      <w:r w:rsidRPr="00450E48">
        <w:rPr>
          <w:i/>
        </w:rPr>
        <w:t>tourism</w:t>
      </w:r>
      <w:proofErr w:type="spellEnd"/>
      <w:r>
        <w:t>”.</w:t>
      </w:r>
    </w:p>
    <w:p w14:paraId="43979000" w14:textId="77777777" w:rsidR="00B0651E" w:rsidRDefault="00B0651E" w:rsidP="00F63DA4">
      <w:pPr>
        <w:pStyle w:val="Paragrafoelenco"/>
        <w:ind w:left="0" w:firstLine="720"/>
      </w:pPr>
      <w:r>
        <w:t>L’Italia è il Paese co-coordinatore, insieme alla Serbia e alla Macedonia del Nord, del Pilastro 2 che affronta due tematiche distinte ma interconnesse tra loro: quella dei trasporti, con un focus sui trasporti marittimi e sul trasporto intermodale, e quella delle reti per l’energia. Il Ministero delle Infrastrutture e dei Trasporti è l’Amministrazione Centrale incaricata per l’attuazione delle tematiche attinenti ai Trasporti, i cui lavori vengono illustrati nel corso dei Fora Annuali EUSAIR.</w:t>
      </w:r>
    </w:p>
    <w:p w14:paraId="287C37ED" w14:textId="77777777" w:rsidR="00B0651E" w:rsidRDefault="00B0651E" w:rsidP="00F63DA4">
      <w:pPr>
        <w:pStyle w:val="Paragrafoelenco"/>
        <w:ind w:left="0" w:firstLine="720"/>
      </w:pPr>
      <w:r>
        <w:t xml:space="preserve">Grazie all’impegno dell’Italia in qualità di Paese capofila del Pilastro 2, nell’ambito degli incontri del Gruppo di Lavoro designato ad hoc e denominato </w:t>
      </w:r>
      <w:proofErr w:type="spellStart"/>
      <w:r w:rsidRPr="00F63DA4">
        <w:rPr>
          <w:i/>
        </w:rPr>
        <w:t>Thematic</w:t>
      </w:r>
      <w:proofErr w:type="spellEnd"/>
      <w:r w:rsidRPr="00F63DA4">
        <w:rPr>
          <w:i/>
        </w:rPr>
        <w:t xml:space="preserve"> Steering Group</w:t>
      </w:r>
      <w:r>
        <w:t xml:space="preserve"> per seguire i lavori in tema trasporto del Pilastro 2 (TSG2), ad oggi è stata approvata all’unanimità una prima lista aperta di n.46 progetti prioritari (cosiddetti  “</w:t>
      </w:r>
      <w:r w:rsidRPr="00450E48">
        <w:rPr>
          <w:i/>
        </w:rPr>
        <w:t>EUSAIR-</w:t>
      </w:r>
      <w:proofErr w:type="spellStart"/>
      <w:r w:rsidRPr="00450E48">
        <w:rPr>
          <w:i/>
        </w:rPr>
        <w:t>labelled</w:t>
      </w:r>
      <w:proofErr w:type="spellEnd"/>
      <w:r>
        <w:t xml:space="preserve">”) che spaziano dai temi sulla sicurezza, al monitoraggio del traffico marittimo, dallo sviluppo di carburanti alternativi, alla realizzazione delle vie d’acqua interne e delle Autostrade del Mare, dal miglioramento delle connessioni transfrontaliere e con l’hinterland allo sviluppo infrastrutturale in ambito portuale. Il sottogruppo trasporti procede regolarmente al monitoraggio dei progetti </w:t>
      </w:r>
      <w:proofErr w:type="spellStart"/>
      <w:r>
        <w:t>labellizzati</w:t>
      </w:r>
      <w:proofErr w:type="spellEnd"/>
      <w:r>
        <w:t xml:space="preserve"> e con l’integrazione di altre proposte conformi al quadro concettuale generale e coerenti con le “</w:t>
      </w:r>
      <w:proofErr w:type="spellStart"/>
      <w:r w:rsidRPr="00F63DA4">
        <w:rPr>
          <w:i/>
        </w:rPr>
        <w:t>Measures</w:t>
      </w:r>
      <w:proofErr w:type="spellEnd"/>
      <w:r w:rsidRPr="00F63DA4">
        <w:rPr>
          <w:i/>
        </w:rPr>
        <w:t xml:space="preserve"> / project </w:t>
      </w:r>
      <w:proofErr w:type="spellStart"/>
      <w:r w:rsidRPr="00F63DA4">
        <w:rPr>
          <w:i/>
        </w:rPr>
        <w:t>proposals</w:t>
      </w:r>
      <w:proofErr w:type="spellEnd"/>
      <w:r w:rsidRPr="00F63DA4">
        <w:rPr>
          <w:i/>
        </w:rPr>
        <w:t xml:space="preserve"> of </w:t>
      </w:r>
      <w:proofErr w:type="spellStart"/>
      <w:r w:rsidRPr="00F63DA4">
        <w:rPr>
          <w:i/>
        </w:rPr>
        <w:t>macroregional</w:t>
      </w:r>
      <w:proofErr w:type="spellEnd"/>
      <w:r w:rsidRPr="00F63DA4">
        <w:rPr>
          <w:i/>
        </w:rPr>
        <w:t xml:space="preserve"> </w:t>
      </w:r>
      <w:proofErr w:type="spellStart"/>
      <w:r w:rsidRPr="00F63DA4">
        <w:rPr>
          <w:i/>
        </w:rPr>
        <w:t>value</w:t>
      </w:r>
      <w:proofErr w:type="spellEnd"/>
      <w:r>
        <w:t xml:space="preserve">” approvate dal </w:t>
      </w:r>
      <w:r w:rsidRPr="00A0460D">
        <w:t>TSG2.</w:t>
      </w:r>
      <w:r>
        <w:t xml:space="preserve"> </w:t>
      </w:r>
    </w:p>
    <w:p w14:paraId="407A5677" w14:textId="77777777" w:rsidR="00B0651E" w:rsidRDefault="00B0651E" w:rsidP="00F63DA4">
      <w:pPr>
        <w:pStyle w:val="Paragrafoelenco"/>
        <w:ind w:left="0" w:firstLine="720"/>
      </w:pPr>
      <w:r>
        <w:t xml:space="preserve">Inoltre, in coerenza con quanto sopra esposto ed ai sensi dell’art. 6 della Dichiarazione EUSAIR di Catania sottoscritta nel 2018 dai Paesi membri della Strategia, il Gruppo di Lavoro TSG2 ha identificato due priorità regionali/progetti pilota da includere nell’Accordo di Partenariato per i Fondi </w:t>
      </w:r>
      <w:proofErr w:type="spellStart"/>
      <w:r w:rsidRPr="00F63DA4">
        <w:rPr>
          <w:i/>
        </w:rPr>
        <w:t>European</w:t>
      </w:r>
      <w:proofErr w:type="spellEnd"/>
      <w:r w:rsidRPr="00F63DA4">
        <w:rPr>
          <w:i/>
        </w:rPr>
        <w:t xml:space="preserve"> </w:t>
      </w:r>
      <w:proofErr w:type="spellStart"/>
      <w:r w:rsidRPr="00F63DA4">
        <w:rPr>
          <w:i/>
        </w:rPr>
        <w:t>Structural</w:t>
      </w:r>
      <w:proofErr w:type="spellEnd"/>
      <w:r w:rsidRPr="00F63DA4">
        <w:rPr>
          <w:i/>
        </w:rPr>
        <w:t xml:space="preserve"> and Investment Funds</w:t>
      </w:r>
      <w:r>
        <w:t xml:space="preserve"> (ESI) 2021-2027 e per la Programmazione IPA III (</w:t>
      </w:r>
      <w:proofErr w:type="spellStart"/>
      <w:r w:rsidRPr="00F63DA4">
        <w:rPr>
          <w:i/>
        </w:rPr>
        <w:t>Instrument</w:t>
      </w:r>
      <w:proofErr w:type="spellEnd"/>
      <w:r w:rsidRPr="00F63DA4">
        <w:rPr>
          <w:i/>
        </w:rPr>
        <w:t xml:space="preserve"> for </w:t>
      </w:r>
      <w:proofErr w:type="spellStart"/>
      <w:r w:rsidRPr="00F63DA4">
        <w:rPr>
          <w:i/>
        </w:rPr>
        <w:t>Pre-Accession</w:t>
      </w:r>
      <w:proofErr w:type="spellEnd"/>
      <w:r w:rsidRPr="00F63DA4">
        <w:rPr>
          <w:i/>
        </w:rPr>
        <w:t xml:space="preserve"> Assistance</w:t>
      </w:r>
      <w:r>
        <w:t>). Le aree di azione individuate sono le seguenti:</w:t>
      </w:r>
    </w:p>
    <w:p w14:paraId="3053E521" w14:textId="77777777" w:rsidR="00B0651E" w:rsidRDefault="00B0651E" w:rsidP="00F63DA4">
      <w:pPr>
        <w:pStyle w:val="Paragrafoelenco"/>
        <w:ind w:left="284" w:hanging="284"/>
      </w:pPr>
      <w:r>
        <w:t xml:space="preserve">• </w:t>
      </w:r>
      <w:r w:rsidR="00B76C6E">
        <w:tab/>
      </w:r>
      <w:r>
        <w:t xml:space="preserve">sistema del trasporto marittimo nella Macroregione Adriatico-Ionica armonizzato, sostenibile e inclusivo; </w:t>
      </w:r>
    </w:p>
    <w:p w14:paraId="1D89EAEC" w14:textId="77777777" w:rsidR="00B0651E" w:rsidRDefault="00B0651E" w:rsidP="00F63DA4">
      <w:pPr>
        <w:pStyle w:val="Paragrafoelenco"/>
        <w:ind w:left="284" w:hanging="284"/>
      </w:pPr>
      <w:r>
        <w:t>•  rete di collegamenti intermodali competitivi ed efficienti per il trasporto merci e passeggeri nella Macroregione Adriatico-Ionica.</w:t>
      </w:r>
    </w:p>
    <w:p w14:paraId="4F062199" w14:textId="77777777" w:rsidR="00B0651E" w:rsidRPr="006C5AEC" w:rsidRDefault="00B0651E" w:rsidP="00F63DA4">
      <w:pPr>
        <w:pStyle w:val="Paragrafoelenco"/>
        <w:ind w:left="0" w:firstLine="720"/>
        <w:rPr>
          <w:color w:val="auto"/>
        </w:rPr>
      </w:pPr>
      <w:r>
        <w:t xml:space="preserve">Nel corso dell’ultimo </w:t>
      </w:r>
      <w:proofErr w:type="spellStart"/>
      <w:r w:rsidRPr="00450E48">
        <w:rPr>
          <w:i/>
        </w:rPr>
        <w:t>Governing</w:t>
      </w:r>
      <w:proofErr w:type="spellEnd"/>
      <w:r w:rsidRPr="00450E48">
        <w:rPr>
          <w:i/>
        </w:rPr>
        <w:t xml:space="preserve"> Board</w:t>
      </w:r>
      <w:r>
        <w:t xml:space="preserve"> (Bruxelles, 18-19 Febbraio 2020), è stata confermata l’importanza del coordinamento con le autorità di gestione dei fondi ESI ed IPA che dovrebbero tenere in considerazione le priorità </w:t>
      </w:r>
      <w:proofErr w:type="gramStart"/>
      <w:r>
        <w:t>macro-regionali</w:t>
      </w:r>
      <w:proofErr w:type="gramEnd"/>
      <w:r>
        <w:t xml:space="preserve"> nei rispettivi </w:t>
      </w:r>
      <w:r w:rsidRPr="002A5C61">
        <w:t>a</w:t>
      </w:r>
      <w:r>
        <w:t xml:space="preserve">ccordi di Partenariato e all’interno del Programma IPA per il periodo </w:t>
      </w:r>
      <w:r w:rsidRPr="006C5AEC">
        <w:rPr>
          <w:color w:val="auto"/>
        </w:rPr>
        <w:t>2021-2027 nell’ambito del cosiddetto processo cosiddetto di “</w:t>
      </w:r>
      <w:proofErr w:type="spellStart"/>
      <w:r w:rsidRPr="006C5AEC">
        <w:rPr>
          <w:i/>
          <w:color w:val="auto"/>
        </w:rPr>
        <w:t>Embedding</w:t>
      </w:r>
      <w:proofErr w:type="spellEnd"/>
      <w:r w:rsidRPr="006C5AEC">
        <w:rPr>
          <w:i/>
          <w:color w:val="auto"/>
        </w:rPr>
        <w:t>”</w:t>
      </w:r>
      <w:r w:rsidRPr="006C5AEC">
        <w:rPr>
          <w:color w:val="auto"/>
        </w:rPr>
        <w:t xml:space="preserve">. A tal fine è stata richiesta un’ulteriore identificazione di iniziative </w:t>
      </w:r>
      <w:proofErr w:type="spellStart"/>
      <w:r w:rsidRPr="006C5AEC">
        <w:rPr>
          <w:i/>
          <w:color w:val="auto"/>
        </w:rPr>
        <w:t>flagship</w:t>
      </w:r>
      <w:proofErr w:type="spellEnd"/>
      <w:r w:rsidRPr="006C5AEC">
        <w:rPr>
          <w:color w:val="auto"/>
        </w:rPr>
        <w:t xml:space="preserve"> da parte di ciascun Pilastro da portare al tavolo negoziale per l’</w:t>
      </w:r>
      <w:r w:rsidR="0094342E" w:rsidRPr="006C5AEC">
        <w:rPr>
          <w:color w:val="auto"/>
        </w:rPr>
        <w:t>A</w:t>
      </w:r>
      <w:r w:rsidRPr="006C5AEC">
        <w:rPr>
          <w:color w:val="auto"/>
        </w:rPr>
        <w:t xml:space="preserve">ccordo di </w:t>
      </w:r>
      <w:r w:rsidR="0094342E" w:rsidRPr="006C5AEC">
        <w:rPr>
          <w:color w:val="auto"/>
        </w:rPr>
        <w:t>P</w:t>
      </w:r>
      <w:r w:rsidRPr="006C5AEC">
        <w:rPr>
          <w:color w:val="auto"/>
        </w:rPr>
        <w:t>art</w:t>
      </w:r>
      <w:r w:rsidR="007B65D7" w:rsidRPr="006C5AEC">
        <w:rPr>
          <w:color w:val="auto"/>
        </w:rPr>
        <w:t>e</w:t>
      </w:r>
      <w:r w:rsidRPr="006C5AEC">
        <w:rPr>
          <w:color w:val="auto"/>
        </w:rPr>
        <w:t xml:space="preserve">nariato 2021-27. </w:t>
      </w:r>
    </w:p>
    <w:p w14:paraId="3943B776" w14:textId="77777777" w:rsidR="00B0651E" w:rsidRDefault="00B0651E" w:rsidP="00F63DA4">
      <w:pPr>
        <w:pStyle w:val="Paragrafoelenco"/>
        <w:ind w:left="0" w:firstLine="720"/>
      </w:pPr>
      <w:r w:rsidRPr="006C5AEC">
        <w:rPr>
          <w:color w:val="auto"/>
        </w:rPr>
        <w:t xml:space="preserve">Infine, il sottogruppo trasporti del TSG2 ha avviato i lavori per lo sviluppo del Masterplan dei trasporti nella Regione Adriatico-Ionica sulla base </w:t>
      </w:r>
      <w:r>
        <w:t xml:space="preserve">della proposta dei Paesi capofila illustrata nel dettaglio durante il </w:t>
      </w:r>
      <w:proofErr w:type="spellStart"/>
      <w:r>
        <w:t>Worskshop</w:t>
      </w:r>
      <w:proofErr w:type="spellEnd"/>
      <w:r>
        <w:t xml:space="preserve"> “</w:t>
      </w:r>
      <w:proofErr w:type="spellStart"/>
      <w:r w:rsidRPr="00F63DA4">
        <w:rPr>
          <w:i/>
        </w:rPr>
        <w:t>Towards</w:t>
      </w:r>
      <w:proofErr w:type="spellEnd"/>
      <w:r w:rsidRPr="00F63DA4">
        <w:rPr>
          <w:i/>
        </w:rPr>
        <w:t xml:space="preserve"> the Development of the Masterplan of </w:t>
      </w:r>
      <w:proofErr w:type="spellStart"/>
      <w:r w:rsidRPr="00F63DA4">
        <w:rPr>
          <w:i/>
        </w:rPr>
        <w:t>Transport</w:t>
      </w:r>
      <w:proofErr w:type="spellEnd"/>
      <w:r w:rsidRPr="00F63DA4">
        <w:rPr>
          <w:i/>
        </w:rPr>
        <w:t xml:space="preserve"> for the Al </w:t>
      </w:r>
      <w:proofErr w:type="spellStart"/>
      <w:r w:rsidRPr="00F63DA4">
        <w:rPr>
          <w:i/>
        </w:rPr>
        <w:t>Region</w:t>
      </w:r>
      <w:proofErr w:type="spellEnd"/>
      <w:r>
        <w:t>” (Roma, 20/03/2018)</w:t>
      </w:r>
      <w:r w:rsidR="00B76C6E">
        <w:t>.</w:t>
      </w:r>
    </w:p>
    <w:p w14:paraId="75E1EB47" w14:textId="77777777" w:rsidR="00B0651E" w:rsidRDefault="00B0651E" w:rsidP="00F63DA4">
      <w:pPr>
        <w:pStyle w:val="Paragrafoelenco"/>
        <w:ind w:left="0" w:firstLine="720"/>
      </w:pPr>
      <w:r>
        <w:t xml:space="preserve">Dal 1° </w:t>
      </w:r>
      <w:proofErr w:type="gramStart"/>
      <w:r>
        <w:t>Giugno</w:t>
      </w:r>
      <w:proofErr w:type="gramEnd"/>
      <w:r>
        <w:t xml:space="preserve"> 2019 la presidenza annuale di turno della Strategia è stata affidata alla Serbia.</w:t>
      </w:r>
    </w:p>
    <w:p w14:paraId="770BF295" w14:textId="77777777" w:rsidR="00DF2263" w:rsidRDefault="00DF2263" w:rsidP="00F6434E">
      <w:pPr>
        <w:ind w:left="142"/>
        <w:jc w:val="both"/>
      </w:pPr>
    </w:p>
    <w:p w14:paraId="20663EA2" w14:textId="77777777" w:rsidR="006C5AEC" w:rsidRDefault="006C5AEC" w:rsidP="00F6434E">
      <w:pPr>
        <w:ind w:left="142"/>
        <w:jc w:val="both"/>
      </w:pPr>
    </w:p>
    <w:p w14:paraId="0D7D941D" w14:textId="77777777" w:rsidR="00385BD4" w:rsidRPr="00C3498A" w:rsidRDefault="006C4718">
      <w:pPr>
        <w:pStyle w:val="Paragrafoelenco"/>
        <w:ind w:left="0"/>
        <w:rPr>
          <w:b/>
          <w:bCs/>
        </w:rPr>
      </w:pPr>
      <w:r w:rsidRPr="00C3498A">
        <w:rPr>
          <w:b/>
          <w:bCs/>
        </w:rPr>
        <w:t>XI.3.5</w:t>
      </w:r>
      <w:r w:rsidR="00E562AD" w:rsidRPr="00C3498A">
        <w:rPr>
          <w:b/>
          <w:bCs/>
        </w:rPr>
        <w:t xml:space="preserve"> - </w:t>
      </w:r>
      <w:r w:rsidR="00C6166A" w:rsidRPr="00C3498A">
        <w:rPr>
          <w:b/>
          <w:bCs/>
        </w:rPr>
        <w:t xml:space="preserve">Piattaforma </w:t>
      </w:r>
      <w:r w:rsidR="005C5DDC" w:rsidRPr="00C3498A">
        <w:rPr>
          <w:b/>
          <w:bCs/>
        </w:rPr>
        <w:t xml:space="preserve">di Connettività </w:t>
      </w:r>
      <w:r w:rsidR="00C6166A" w:rsidRPr="00C3498A">
        <w:rPr>
          <w:b/>
          <w:bCs/>
        </w:rPr>
        <w:t xml:space="preserve">UE-CINA </w:t>
      </w:r>
      <w:r w:rsidR="00D721BE" w:rsidRPr="00C3498A">
        <w:rPr>
          <w:b/>
          <w:bCs/>
        </w:rPr>
        <w:t>(</w:t>
      </w:r>
      <w:r w:rsidR="00D721BE" w:rsidRPr="00F63DA4">
        <w:rPr>
          <w:b/>
          <w:bCs/>
        </w:rPr>
        <w:t>EU-China Platform</w:t>
      </w:r>
      <w:r w:rsidR="00D721BE" w:rsidRPr="00C3498A">
        <w:rPr>
          <w:b/>
          <w:bCs/>
        </w:rPr>
        <w:t>)</w:t>
      </w:r>
    </w:p>
    <w:p w14:paraId="25A7C60C" w14:textId="77777777" w:rsidR="00343FB0" w:rsidRPr="00343FB0" w:rsidRDefault="00343FB0">
      <w:pPr>
        <w:jc w:val="both"/>
        <w:rPr>
          <w:b/>
          <w:bCs/>
        </w:rPr>
      </w:pPr>
    </w:p>
    <w:p w14:paraId="306585F7" w14:textId="77777777" w:rsidR="002E1DA0" w:rsidRDefault="00A97A3A">
      <w:pPr>
        <w:pStyle w:val="Paragrafoelenco"/>
        <w:ind w:left="0"/>
      </w:pPr>
      <w:r>
        <w:tab/>
      </w:r>
      <w:r w:rsidR="00C3498A">
        <w:t>L’iniziativa</w:t>
      </w:r>
      <w:r w:rsidR="00C3498A" w:rsidRPr="00C3498A">
        <w:t xml:space="preserve"> </w:t>
      </w:r>
      <w:r w:rsidR="00C3498A" w:rsidRPr="00F6434E">
        <w:t>per l’istituzione di una piattaforma di connettività tra l'UE e la Cina,</w:t>
      </w:r>
      <w:r w:rsidR="00C3498A" w:rsidRPr="00A96C6E">
        <w:t xml:space="preserve"> la cosiddetta “</w:t>
      </w:r>
      <w:r w:rsidR="00C3498A" w:rsidRPr="00C1452A">
        <w:rPr>
          <w:i/>
        </w:rPr>
        <w:t xml:space="preserve">EU-China </w:t>
      </w:r>
      <w:r w:rsidR="00D95A45">
        <w:rPr>
          <w:i/>
        </w:rPr>
        <w:t xml:space="preserve">Connectivity </w:t>
      </w:r>
      <w:r w:rsidR="00C3498A" w:rsidRPr="00C1452A">
        <w:rPr>
          <w:i/>
        </w:rPr>
        <w:t>Platform</w:t>
      </w:r>
      <w:r w:rsidR="00C3498A" w:rsidRPr="00A96C6E">
        <w:t>”,</w:t>
      </w:r>
      <w:r w:rsidR="00C3498A">
        <w:t xml:space="preserve"> nasce </w:t>
      </w:r>
      <w:r w:rsidR="00BC1F9D" w:rsidRPr="00A96C6E">
        <w:t>con l'obiettivo di rafforzare lo scambio di informazioni tra le parti, promuovere connessioni di trasporto fluide e senza ostacoli, nonché</w:t>
      </w:r>
      <w:r w:rsidR="00C3498A">
        <w:t xml:space="preserve"> </w:t>
      </w:r>
      <w:r w:rsidR="00BC1F9D" w:rsidRPr="00A96C6E">
        <w:t xml:space="preserve">sinergie politiche </w:t>
      </w:r>
      <w:r w:rsidR="00C3498A">
        <w:t xml:space="preserve">e </w:t>
      </w:r>
      <w:r w:rsidR="00BC1F9D" w:rsidRPr="00A96C6E">
        <w:t>progetti</w:t>
      </w:r>
      <w:r w:rsidR="00C3498A">
        <w:t xml:space="preserve"> ad esse</w:t>
      </w:r>
      <w:r w:rsidR="00BC1F9D" w:rsidRPr="00A96C6E">
        <w:t xml:space="preserve"> correlati, </w:t>
      </w:r>
      <w:r w:rsidR="00783A39">
        <w:t>nonché</w:t>
      </w:r>
      <w:r w:rsidR="00C3498A">
        <w:t xml:space="preserve"> </w:t>
      </w:r>
      <w:r w:rsidR="00BC1F9D" w:rsidRPr="00A96C6E">
        <w:t>creare opportunità di cooperazione per le imprese cinesi ed europee</w:t>
      </w:r>
      <w:r w:rsidR="00C3498A">
        <w:t xml:space="preserve"> in u</w:t>
      </w:r>
      <w:r w:rsidR="00BC1F9D" w:rsidRPr="00A96C6E">
        <w:t>n ambiente trasparente con parità di condizioni per gli investimenti</w:t>
      </w:r>
      <w:r w:rsidR="00416EC4">
        <w:t xml:space="preserve"> in vari settori, con particolare riferimento ai</w:t>
      </w:r>
      <w:r w:rsidR="00BC1F9D" w:rsidRPr="00A96C6E">
        <w:t xml:space="preserve"> trasporti</w:t>
      </w:r>
      <w:r w:rsidR="00C3498A">
        <w:t>. A tal fine, i</w:t>
      </w:r>
      <w:r w:rsidR="00C3498A" w:rsidRPr="00F6434E">
        <w:t xml:space="preserve">l 28 settembre 2015, la </w:t>
      </w:r>
      <w:r w:rsidR="00C3498A">
        <w:t>Commissione Europea</w:t>
      </w:r>
      <w:r w:rsidR="00C3498A" w:rsidRPr="00F6434E">
        <w:t xml:space="preserve"> e la Commissione nazionale per lo sviluppo</w:t>
      </w:r>
      <w:r w:rsidR="00C3498A">
        <w:t xml:space="preserve"> e la riforma della Repubblica Popolare C</w:t>
      </w:r>
      <w:r w:rsidR="00C3498A" w:rsidRPr="00F6434E">
        <w:t>inese hanno</w:t>
      </w:r>
      <w:r w:rsidR="00C3498A">
        <w:t xml:space="preserve"> firmato un memorandum d'intesa.</w:t>
      </w:r>
    </w:p>
    <w:p w14:paraId="41D112C5" w14:textId="77777777" w:rsidR="00BC1F9D" w:rsidRPr="00A96C6E" w:rsidRDefault="002E1DA0" w:rsidP="00A0155B">
      <w:pPr>
        <w:pStyle w:val="Paragrafoelenco"/>
        <w:ind w:left="0" w:firstLine="709"/>
      </w:pPr>
      <w:r w:rsidRPr="002E1DA0">
        <w:t xml:space="preserve">Sia la Cina che l'Unione Europea hanno sviluppato i collegamenti e le reti infrastrutturali sui propri territori al fine di garantire il buon funzionamento delle rispettive economie attraverso una politica dei </w:t>
      </w:r>
      <w:r w:rsidRPr="002E1DA0">
        <w:lastRenderedPageBreak/>
        <w:t>trasporti che prevede la libera ed efficiente movimentazione di merci e persone. Dopo aver sviluppato la Rete Transeuropea dei trasporti, l'Unione Europea si è impegnata a spingersi oltre i confini dell'UE prevedendo un’estensione della stessa, prevalentemente in direzione Est (</w:t>
      </w:r>
      <w:proofErr w:type="spellStart"/>
      <w:r w:rsidRPr="00450E48">
        <w:rPr>
          <w:i/>
        </w:rPr>
        <w:t>Cooperation</w:t>
      </w:r>
      <w:proofErr w:type="spellEnd"/>
      <w:r w:rsidRPr="00450E48">
        <w:rPr>
          <w:i/>
        </w:rPr>
        <w:t xml:space="preserve"> with </w:t>
      </w:r>
      <w:proofErr w:type="spellStart"/>
      <w:r w:rsidRPr="00450E48">
        <w:rPr>
          <w:i/>
        </w:rPr>
        <w:t>third</w:t>
      </w:r>
      <w:proofErr w:type="spellEnd"/>
      <w:r w:rsidRPr="00450E48">
        <w:rPr>
          <w:i/>
        </w:rPr>
        <w:t xml:space="preserve"> </w:t>
      </w:r>
      <w:r w:rsidR="00A0460D">
        <w:rPr>
          <w:i/>
        </w:rPr>
        <w:t>C</w:t>
      </w:r>
      <w:r w:rsidRPr="00450E48">
        <w:rPr>
          <w:i/>
        </w:rPr>
        <w:t>ountries</w:t>
      </w:r>
      <w:r w:rsidRPr="002E1DA0">
        <w:t xml:space="preserve">). </w:t>
      </w:r>
      <w:proofErr w:type="gramStart"/>
      <w:r w:rsidRPr="002E1DA0">
        <w:t>E’</w:t>
      </w:r>
      <w:proofErr w:type="gramEnd"/>
      <w:r w:rsidRPr="002E1DA0">
        <w:t xml:space="preserve"> da segnalare che dal 2013 la Cina aveva già promosso l’iniziativa volta a costruire la nuova Via della Seta, mediante il cosiddetto progetto OBOR “</w:t>
      </w:r>
      <w:r w:rsidRPr="00450E48">
        <w:rPr>
          <w:i/>
        </w:rPr>
        <w:t xml:space="preserve">One </w:t>
      </w:r>
      <w:proofErr w:type="spellStart"/>
      <w:r w:rsidRPr="00450E48">
        <w:rPr>
          <w:i/>
        </w:rPr>
        <w:t>Belt</w:t>
      </w:r>
      <w:proofErr w:type="spellEnd"/>
      <w:r w:rsidRPr="00450E48">
        <w:rPr>
          <w:i/>
        </w:rPr>
        <w:t>, One Road</w:t>
      </w:r>
      <w:r w:rsidRPr="002E1DA0">
        <w:t>", che m</w:t>
      </w:r>
      <w:r>
        <w:t>irava a connettersi all'Europa.</w:t>
      </w:r>
      <w:r w:rsidR="00A0155B">
        <w:t xml:space="preserve"> </w:t>
      </w:r>
      <w:r w:rsidRPr="002E1DA0">
        <w:t xml:space="preserve">Pertanto, un processo di coordinamento tra le due iniziative è risultato essenziale per garantire la compatibilità e la complementarità tra le politiche tanto da spingere le parti alla sottoscrizione di un </w:t>
      </w:r>
      <w:r w:rsidRPr="007B65D7">
        <w:t xml:space="preserve">“Memorandum d’Intesa sulla collaborazione nell’ambito della Via della Seta Economica e dell’Iniziativa per una Via della Seta Marittima del 21° </w:t>
      </w:r>
      <w:proofErr w:type="gramStart"/>
      <w:r w:rsidRPr="00A0155B">
        <w:rPr>
          <w:color w:val="000000" w:themeColor="text1"/>
        </w:rPr>
        <w:t>Secolo”</w:t>
      </w:r>
      <w:r w:rsidR="009965F2" w:rsidRPr="00A0155B">
        <w:rPr>
          <w:color w:val="000000" w:themeColor="text1"/>
          <w:vertAlign w:val="superscript"/>
        </w:rPr>
        <w:t>(</w:t>
      </w:r>
      <w:proofErr w:type="gramEnd"/>
      <w:r w:rsidR="00BE04A6" w:rsidRPr="00A0155B">
        <w:rPr>
          <w:rStyle w:val="Rimandonotaapidipagina"/>
          <w:color w:val="000000" w:themeColor="text1"/>
        </w:rPr>
        <w:footnoteReference w:id="6"/>
      </w:r>
      <w:r w:rsidR="009965F2" w:rsidRPr="00A0155B">
        <w:rPr>
          <w:color w:val="000000" w:themeColor="text1"/>
          <w:vertAlign w:val="superscript"/>
        </w:rPr>
        <w:t>)</w:t>
      </w:r>
      <w:r w:rsidRPr="00A0155B">
        <w:rPr>
          <w:color w:val="000000" w:themeColor="text1"/>
        </w:rPr>
        <w:t>.</w:t>
      </w:r>
      <w:r w:rsidR="00A0155B">
        <w:rPr>
          <w:color w:val="000000" w:themeColor="text1"/>
        </w:rPr>
        <w:t xml:space="preserve">  L</w:t>
      </w:r>
      <w:r w:rsidR="00BC1F9D" w:rsidRPr="00A0155B">
        <w:rPr>
          <w:color w:val="000000" w:themeColor="text1"/>
        </w:rPr>
        <w:t xml:space="preserve">a piattaforma è co-presieduta dal Commissario </w:t>
      </w:r>
      <w:r w:rsidR="00BC1F9D" w:rsidRPr="00F6434E">
        <w:t xml:space="preserve">per la mobilità e i trasporti della </w:t>
      </w:r>
      <w:r w:rsidR="000E1C97">
        <w:t>Commissione Europea</w:t>
      </w:r>
      <w:r w:rsidR="00A0460D">
        <w:t xml:space="preserve"> e dal P</w:t>
      </w:r>
      <w:r w:rsidR="00BC1F9D" w:rsidRPr="00F6434E">
        <w:t xml:space="preserve">residente della Commissione nazionale per lo sviluppo e la riforma (NDRC) </w:t>
      </w:r>
      <w:r w:rsidR="00BC1F9D" w:rsidRPr="00A96C6E">
        <w:t>del</w:t>
      </w:r>
      <w:r w:rsidR="00485233">
        <w:t>la Repubblica Popolare C</w:t>
      </w:r>
      <w:r w:rsidR="00BC1F9D" w:rsidRPr="00F6434E">
        <w:t>inese</w:t>
      </w:r>
      <w:r w:rsidR="00C3498A">
        <w:t xml:space="preserve"> che si incontrano </w:t>
      </w:r>
      <w:r w:rsidR="00BC1F9D" w:rsidRPr="00F6434E">
        <w:t xml:space="preserve">una volta all'anno, in Europa e in Cina </w:t>
      </w:r>
      <w:r w:rsidR="00BC1F9D" w:rsidRPr="00A96C6E">
        <w:t>alternativamente</w:t>
      </w:r>
      <w:r w:rsidR="00BC1F9D" w:rsidRPr="00F6434E">
        <w:t xml:space="preserve">. </w:t>
      </w:r>
    </w:p>
    <w:p w14:paraId="0CC9F8B2" w14:textId="77777777" w:rsidR="00C139AE" w:rsidRDefault="00A97A3A" w:rsidP="00061884">
      <w:pPr>
        <w:pStyle w:val="Paragrafoelenco"/>
        <w:ind w:left="0"/>
      </w:pPr>
      <w:r>
        <w:tab/>
      </w:r>
      <w:r w:rsidR="00BC1F9D" w:rsidRPr="00A96C6E">
        <w:t xml:space="preserve">Nell’ambito </w:t>
      </w:r>
      <w:r w:rsidR="00C3498A">
        <w:t>di tale processo</w:t>
      </w:r>
      <w:r w:rsidR="00C3498A" w:rsidRPr="00A96C6E">
        <w:t xml:space="preserve"> </w:t>
      </w:r>
      <w:r w:rsidR="00BC1F9D" w:rsidRPr="00A96C6E">
        <w:t xml:space="preserve">è previsto un </w:t>
      </w:r>
      <w:r w:rsidR="007B65D7">
        <w:t>“</w:t>
      </w:r>
      <w:r w:rsidR="00A0460D">
        <w:t>Piano d'A</w:t>
      </w:r>
      <w:r w:rsidR="00BC1F9D" w:rsidRPr="00A96C6E">
        <w:t>zione</w:t>
      </w:r>
      <w:r w:rsidR="00A0460D">
        <w:t>” annuale</w:t>
      </w:r>
      <w:r w:rsidR="00BC1F9D" w:rsidRPr="00A96C6E">
        <w:t xml:space="preserve"> che contribuisce a migliorare la cooperazione sulla piattaforma di connettività UE-Cina, la comunicazione e la cooperazione tra le parti nell’ambito delle infrastrutture di trasporto e raggiungere nuovi traguardi nei settori </w:t>
      </w:r>
      <w:r w:rsidR="00C3498A">
        <w:t>della</w:t>
      </w:r>
      <w:r w:rsidR="00BC1F9D" w:rsidRPr="00A96C6E">
        <w:t xml:space="preserve"> pianificazione</w:t>
      </w:r>
      <w:r w:rsidR="00C3498A">
        <w:t xml:space="preserve"> strategica</w:t>
      </w:r>
      <w:r w:rsidR="00BC1F9D" w:rsidRPr="00A96C6E">
        <w:t>, politica</w:t>
      </w:r>
      <w:r w:rsidR="00C3498A">
        <w:t xml:space="preserve"> e negli </w:t>
      </w:r>
      <w:r w:rsidR="00BC1F9D" w:rsidRPr="00A96C6E">
        <w:t>investimenti e finanziament</w:t>
      </w:r>
      <w:r w:rsidR="00C3498A">
        <w:t>i</w:t>
      </w:r>
      <w:r w:rsidR="00BC1F9D" w:rsidRPr="00A96C6E">
        <w:t xml:space="preserve"> </w:t>
      </w:r>
      <w:r w:rsidR="00F30DD5" w:rsidRPr="00A96C6E">
        <w:t>di progetti pilota.</w:t>
      </w:r>
      <w:r w:rsidR="00BC1F9D" w:rsidRPr="00A96C6E">
        <w:t xml:space="preserve"> </w:t>
      </w:r>
      <w:r w:rsidR="00C139AE">
        <w:t xml:space="preserve">Nella versione del 2019 il piano di azione </w:t>
      </w:r>
      <w:r w:rsidR="00A0460D">
        <w:t>ha previsto</w:t>
      </w:r>
      <w:r w:rsidR="002E1DA0">
        <w:t xml:space="preserve"> i seguenti 5</w:t>
      </w:r>
      <w:r w:rsidR="00C139AE">
        <w:t xml:space="preserve"> obiettivi:</w:t>
      </w:r>
    </w:p>
    <w:p w14:paraId="3B567212" w14:textId="77777777" w:rsidR="002E1DA0" w:rsidRDefault="002E1DA0" w:rsidP="00A0155B">
      <w:pPr>
        <w:pStyle w:val="Paragrafoelenco"/>
        <w:numPr>
          <w:ilvl w:val="0"/>
          <w:numId w:val="41"/>
        </w:numPr>
        <w:tabs>
          <w:tab w:val="left" w:pos="426"/>
          <w:tab w:val="left" w:pos="1134"/>
        </w:tabs>
        <w:ind w:left="0" w:firstLine="709"/>
      </w:pPr>
      <w:r>
        <w:t>o</w:t>
      </w:r>
      <w:r w:rsidRPr="00F63DA4">
        <w:t>rganizzare uno studio incentrato sulle sinergie tra</w:t>
      </w:r>
      <w:r>
        <w:t xml:space="preserve"> la</w:t>
      </w:r>
      <w:r w:rsidRPr="00F63DA4">
        <w:t xml:space="preserve"> </w:t>
      </w:r>
      <w:proofErr w:type="spellStart"/>
      <w:r w:rsidRPr="00F63DA4">
        <w:rPr>
          <w:i/>
        </w:rPr>
        <w:t>Belt</w:t>
      </w:r>
      <w:proofErr w:type="spellEnd"/>
      <w:r w:rsidRPr="00F63DA4">
        <w:rPr>
          <w:i/>
        </w:rPr>
        <w:t xml:space="preserve"> e Road </w:t>
      </w:r>
      <w:proofErr w:type="spellStart"/>
      <w:r w:rsidRPr="00F63DA4">
        <w:rPr>
          <w:i/>
        </w:rPr>
        <w:t>Initiative</w:t>
      </w:r>
      <w:proofErr w:type="spellEnd"/>
      <w:r w:rsidRPr="00F63DA4">
        <w:t>, le linee di estensione della ret</w:t>
      </w:r>
      <w:r w:rsidRPr="002E1DA0">
        <w:t xml:space="preserve">e </w:t>
      </w:r>
      <w:r>
        <w:t>TEN-T</w:t>
      </w:r>
      <w:r w:rsidRPr="00F63DA4">
        <w:t xml:space="preserve"> che copre i Balcani occidentali e le iniziativ</w:t>
      </w:r>
      <w:r w:rsidRPr="002E1DA0">
        <w:t>e cooperative dei paesi vicini</w:t>
      </w:r>
      <w:r>
        <w:t>;</w:t>
      </w:r>
    </w:p>
    <w:p w14:paraId="7E62F939" w14:textId="77777777" w:rsidR="002E1DA0" w:rsidRDefault="002E1DA0" w:rsidP="00A0155B">
      <w:pPr>
        <w:pStyle w:val="Paragrafoelenco"/>
        <w:numPr>
          <w:ilvl w:val="0"/>
          <w:numId w:val="41"/>
        </w:numPr>
        <w:tabs>
          <w:tab w:val="left" w:pos="426"/>
          <w:tab w:val="left" w:pos="1134"/>
        </w:tabs>
        <w:ind w:left="0" w:firstLine="709"/>
      </w:pPr>
      <w:r>
        <w:t>p</w:t>
      </w:r>
      <w:r w:rsidRPr="00F63DA4">
        <w:t xml:space="preserve">romuovere i progetti di cooperazione, in linea con il principio di reciprocità, tra i progetti pilota </w:t>
      </w:r>
      <w:r>
        <w:t>identificati;</w:t>
      </w:r>
    </w:p>
    <w:p w14:paraId="35FFF3FF" w14:textId="77777777" w:rsidR="002E1DA0" w:rsidRDefault="002E1DA0" w:rsidP="00A0155B">
      <w:pPr>
        <w:pStyle w:val="Paragrafoelenco"/>
        <w:numPr>
          <w:ilvl w:val="0"/>
          <w:numId w:val="41"/>
        </w:numPr>
        <w:tabs>
          <w:tab w:val="left" w:pos="426"/>
          <w:tab w:val="left" w:pos="1134"/>
        </w:tabs>
        <w:ind w:left="0" w:firstLine="709"/>
      </w:pPr>
      <w:r w:rsidRPr="00F63DA4">
        <w:t>elabor</w:t>
      </w:r>
      <w:r>
        <w:t>are</w:t>
      </w:r>
      <w:r w:rsidRPr="00F63DA4">
        <w:t xml:space="preserve"> una serie di </w:t>
      </w:r>
      <w:r>
        <w:t>linee guida</w:t>
      </w:r>
      <w:r w:rsidRPr="00F63DA4">
        <w:t xml:space="preserve"> sulle politiche di gestione degli investimenti e sugli standard di costruzione nel settore delle infrastru</w:t>
      </w:r>
      <w:r w:rsidRPr="002E1DA0">
        <w:t>tture di trasporto e condurr</w:t>
      </w:r>
      <w:r>
        <w:t>e</w:t>
      </w:r>
      <w:r w:rsidRPr="00F63DA4">
        <w:t xml:space="preserve"> un programma di formazione, in modo da rendere gli investitori di entrambe le parti più informati sulle no</w:t>
      </w:r>
      <w:r w:rsidRPr="002E1DA0">
        <w:t>rme in materia di investimenti</w:t>
      </w:r>
      <w:r>
        <w:t>;</w:t>
      </w:r>
    </w:p>
    <w:p w14:paraId="374053E1" w14:textId="77777777" w:rsidR="002E1DA0" w:rsidRDefault="002E1DA0" w:rsidP="00A0155B">
      <w:pPr>
        <w:pStyle w:val="Paragrafoelenco"/>
        <w:numPr>
          <w:ilvl w:val="0"/>
          <w:numId w:val="41"/>
        </w:numPr>
        <w:tabs>
          <w:tab w:val="left" w:pos="426"/>
          <w:tab w:val="left" w:pos="1134"/>
        </w:tabs>
        <w:ind w:left="0" w:firstLine="709"/>
      </w:pPr>
      <w:r>
        <w:t>o</w:t>
      </w:r>
      <w:r w:rsidRPr="00F63DA4">
        <w:t xml:space="preserve">rganizzare una discussione tecnica </w:t>
      </w:r>
      <w:r w:rsidRPr="002E1DA0">
        <w:t>su</w:t>
      </w:r>
      <w:r>
        <w:t xml:space="preserve">gli aspetti </w:t>
      </w:r>
      <w:r w:rsidRPr="00A0460D">
        <w:rPr>
          <w:i/>
        </w:rPr>
        <w:t>“soft</w:t>
      </w:r>
      <w:r>
        <w:t>” della</w:t>
      </w:r>
      <w:r w:rsidRPr="00F63DA4">
        <w:t xml:space="preserve"> connettività infrastrutturale UE-Cina</w:t>
      </w:r>
      <w:r>
        <w:t xml:space="preserve"> (</w:t>
      </w:r>
      <w:r w:rsidRPr="00F63DA4">
        <w:t>norme,</w:t>
      </w:r>
      <w:r w:rsidRPr="002E1DA0">
        <w:t xml:space="preserve"> standard</w:t>
      </w:r>
      <w:r>
        <w:t xml:space="preserve"> di comunicazione, procedure tra cui quelle doganali, </w:t>
      </w:r>
      <w:r w:rsidR="00B76C6E">
        <w:t>ecc.</w:t>
      </w:r>
      <w:r>
        <w:t>);</w:t>
      </w:r>
    </w:p>
    <w:p w14:paraId="39DEBB33" w14:textId="77777777" w:rsidR="002E1DA0" w:rsidRPr="002E1DA0" w:rsidRDefault="002E1DA0" w:rsidP="00A0155B">
      <w:pPr>
        <w:pStyle w:val="Paragrafoelenco"/>
        <w:numPr>
          <w:ilvl w:val="0"/>
          <w:numId w:val="41"/>
        </w:numPr>
        <w:tabs>
          <w:tab w:val="left" w:pos="426"/>
          <w:tab w:val="left" w:pos="1134"/>
        </w:tabs>
        <w:ind w:left="0" w:firstLine="709"/>
      </w:pPr>
      <w:r>
        <w:t>o</w:t>
      </w:r>
      <w:r w:rsidRPr="00F63DA4">
        <w:t>rganizzare un seminario di esperti sugli investimenti e il finanziamento</w:t>
      </w:r>
      <w:r>
        <w:t xml:space="preserve"> di progetti.</w:t>
      </w:r>
    </w:p>
    <w:p w14:paraId="30C072EA" w14:textId="77777777" w:rsidR="00416EC4" w:rsidRPr="00A96C6E" w:rsidRDefault="00061884" w:rsidP="00F63DA4">
      <w:pPr>
        <w:pStyle w:val="Paragrafoelenco"/>
        <w:ind w:left="0" w:firstLine="708"/>
      </w:pPr>
      <w:r>
        <w:t>La</w:t>
      </w:r>
      <w:r w:rsidR="00C2301A" w:rsidRPr="00A96C6E">
        <w:t xml:space="preserve"> Piattaforma si prefigge</w:t>
      </w:r>
      <w:r>
        <w:t>, quindi,</w:t>
      </w:r>
      <w:r w:rsidR="00C2301A" w:rsidRPr="00A96C6E">
        <w:t xml:space="preserve"> nel breve termine di rafforzare le sinergie tra l'Iniziativa OBOR e la politica della </w:t>
      </w:r>
      <w:r w:rsidR="00B90D76">
        <w:t>Rete Transeuropea</w:t>
      </w:r>
      <w:r w:rsidR="00C2301A" w:rsidRPr="00A96C6E">
        <w:t xml:space="preserve"> dei trasporti dell'UE</w:t>
      </w:r>
      <w:r>
        <w:t xml:space="preserve"> e</w:t>
      </w:r>
      <w:r w:rsidR="00C2301A" w:rsidRPr="00A96C6E">
        <w:t xml:space="preserve"> sostenere </w:t>
      </w:r>
      <w:r w:rsidR="0073264B">
        <w:t>l'attuazione dello sviluppo di C</w:t>
      </w:r>
      <w:r w:rsidR="00C2301A" w:rsidRPr="00A96C6E">
        <w:t xml:space="preserve">orridoi infrastrutturali nei </w:t>
      </w:r>
      <w:r w:rsidR="00F25599">
        <w:t>Paesi</w:t>
      </w:r>
      <w:r w:rsidR="0073264B">
        <w:t xml:space="preserve"> e nelle Regioni attraversate</w:t>
      </w:r>
      <w:r w:rsidR="00805F69" w:rsidRPr="00A96C6E">
        <w:t xml:space="preserve">. </w:t>
      </w:r>
      <w:r w:rsidR="00416EC4">
        <w:t>Inoltre, p</w:t>
      </w:r>
      <w:r w:rsidR="00416EC4" w:rsidRPr="00A96C6E">
        <w:t xml:space="preserve">er quanto attiene agli standard tecnici, la cooperazione punta ad una armonizzazione dei requisiti tecnici per le varie modalità di trasporti, allo sviluppo di norme di trasporto compatibili e unificate, alla promozione della mobilità sostenibile e </w:t>
      </w:r>
      <w:r w:rsidR="00416EC4">
        <w:t>della digitalizzazione.</w:t>
      </w:r>
      <w:r w:rsidR="00416EC4" w:rsidRPr="00F6434E">
        <w:t xml:space="preserve"> </w:t>
      </w:r>
    </w:p>
    <w:p w14:paraId="62053740" w14:textId="77777777" w:rsidR="00416EC4" w:rsidRPr="00F6434E" w:rsidRDefault="00A97A3A">
      <w:pPr>
        <w:pStyle w:val="Paragrafoelenco"/>
        <w:ind w:left="0"/>
      </w:pPr>
      <w:r>
        <w:tab/>
      </w:r>
      <w:r w:rsidR="00805F69" w:rsidRPr="00A96C6E">
        <w:t xml:space="preserve">La </w:t>
      </w:r>
      <w:r w:rsidR="00061884">
        <w:t>struttura di governance</w:t>
      </w:r>
      <w:r w:rsidR="00416EC4">
        <w:t xml:space="preserve"> della piattaforma</w:t>
      </w:r>
      <w:r w:rsidR="00061884" w:rsidRPr="00A96C6E">
        <w:t xml:space="preserve"> </w:t>
      </w:r>
      <w:r w:rsidR="00805F69" w:rsidRPr="00A96C6E">
        <w:t>prevede</w:t>
      </w:r>
      <w:r w:rsidR="002E1DA0">
        <w:t>,</w:t>
      </w:r>
      <w:r w:rsidR="00805F69" w:rsidRPr="00A96C6E">
        <w:t xml:space="preserve"> </w:t>
      </w:r>
      <w:r w:rsidR="002E1DA0">
        <w:t xml:space="preserve">inoltre, </w:t>
      </w:r>
      <w:r w:rsidR="00805F69" w:rsidRPr="00F6434E">
        <w:t xml:space="preserve">scambi e comunicazioni regolari tra le parti mediante l’organizzazione di seminari tecnici specifici e </w:t>
      </w:r>
      <w:r w:rsidR="00B15E7A" w:rsidRPr="00F6434E">
        <w:t xml:space="preserve">di un </w:t>
      </w:r>
      <w:r w:rsidR="00AD3F95">
        <w:t>G</w:t>
      </w:r>
      <w:r w:rsidR="00805F69" w:rsidRPr="00F6434E">
        <w:t>rupp</w:t>
      </w:r>
      <w:r w:rsidR="00B15E7A" w:rsidRPr="00F6434E">
        <w:t>o</w:t>
      </w:r>
      <w:r w:rsidR="00AD3F95">
        <w:t xml:space="preserve"> di L</w:t>
      </w:r>
      <w:r w:rsidR="00805F69" w:rsidRPr="00F6434E">
        <w:t>avoro</w:t>
      </w:r>
      <w:r w:rsidR="00B15E7A" w:rsidRPr="00F6434E">
        <w:t xml:space="preserve"> istituito </w:t>
      </w:r>
      <w:r w:rsidR="00061884">
        <w:t>al fine di i</w:t>
      </w:r>
      <w:r w:rsidR="00B15E7A" w:rsidRPr="00F6434E">
        <w:t>dentifica</w:t>
      </w:r>
      <w:r w:rsidR="00061884">
        <w:t>re alcuni</w:t>
      </w:r>
      <w:r w:rsidR="00B15E7A" w:rsidRPr="00F6434E">
        <w:t xml:space="preserve"> progetti pilota, azioni prioritarie nelle aree </w:t>
      </w:r>
      <w:r w:rsidR="00416EC4">
        <w:t xml:space="preserve">di interesse delle parti, e </w:t>
      </w:r>
      <w:r w:rsidR="00061884">
        <w:t xml:space="preserve">promuovere </w:t>
      </w:r>
      <w:r w:rsidR="00BE71C5" w:rsidRPr="00F6434E">
        <w:t>lo scambio di</w:t>
      </w:r>
      <w:r w:rsidR="00B15E7A" w:rsidRPr="00F6434E">
        <w:t xml:space="preserve"> migliori pratiche nel </w:t>
      </w:r>
      <w:r w:rsidR="006F217A">
        <w:t>Partenariato</w:t>
      </w:r>
      <w:r w:rsidR="00B15E7A" w:rsidRPr="00F6434E">
        <w:t xml:space="preserve"> pubblico-pri</w:t>
      </w:r>
      <w:r w:rsidR="00AD3F95">
        <w:t>vato (PPP). Sotto la guida del Gruppo di L</w:t>
      </w:r>
      <w:r w:rsidR="00B15E7A" w:rsidRPr="00F6434E">
        <w:t>avoro, le due parti prevedono alt</w:t>
      </w:r>
      <w:r w:rsidR="00AD3F95">
        <w:t xml:space="preserve">resì di </w:t>
      </w:r>
      <w:r w:rsidR="00AD3F95" w:rsidRPr="006C5AEC">
        <w:rPr>
          <w:color w:val="auto"/>
        </w:rPr>
        <w:t>istituire un Gruppo di E</w:t>
      </w:r>
      <w:r w:rsidR="00B15E7A" w:rsidRPr="006C5AEC">
        <w:rPr>
          <w:color w:val="auto"/>
        </w:rPr>
        <w:t xml:space="preserve">sperti in materia di investimenti e finanziamenti, guidato congiuntamente dalla Direzione </w:t>
      </w:r>
      <w:r w:rsidR="0094342E" w:rsidRPr="006C5AEC">
        <w:rPr>
          <w:color w:val="auto"/>
        </w:rPr>
        <w:t xml:space="preserve">Generale </w:t>
      </w:r>
      <w:r w:rsidR="00B15E7A" w:rsidRPr="006C5AEC">
        <w:rPr>
          <w:color w:val="auto"/>
        </w:rPr>
        <w:t xml:space="preserve">per </w:t>
      </w:r>
      <w:r w:rsidR="006C5AEC">
        <w:t>la Mobilità e i T</w:t>
      </w:r>
      <w:r w:rsidR="00B15E7A" w:rsidRPr="00F6434E">
        <w:t xml:space="preserve">rasporti </w:t>
      </w:r>
      <w:r w:rsidR="00DE1FE0">
        <w:t>della Commissione E</w:t>
      </w:r>
      <w:r w:rsidR="00061884">
        <w:t>uropea dal lato europeo</w:t>
      </w:r>
      <w:r w:rsidR="00D62A49">
        <w:t xml:space="preserve"> e dalla Banca di Sviluppo C</w:t>
      </w:r>
      <w:r w:rsidR="00B15E7A" w:rsidRPr="00F6434E">
        <w:t>inese dal lato cinese, con la partecipazione di istituzioni finanziarie.</w:t>
      </w:r>
    </w:p>
    <w:p w14:paraId="7D256D96" w14:textId="77777777" w:rsidR="00C139AE" w:rsidRDefault="00B15E7A" w:rsidP="00F63DA4">
      <w:pPr>
        <w:pStyle w:val="Paragrafoelenco"/>
        <w:ind w:left="0" w:firstLine="709"/>
      </w:pPr>
      <w:r w:rsidRPr="00A96C6E">
        <w:t xml:space="preserve">Nell’ambito </w:t>
      </w:r>
      <w:r w:rsidR="00416EC4">
        <w:t>della</w:t>
      </w:r>
      <w:r w:rsidRPr="00A96C6E">
        <w:t xml:space="preserve"> lista di progetti pilota</w:t>
      </w:r>
      <w:r w:rsidR="00BE71C5" w:rsidRPr="00A96C6E">
        <w:t>,</w:t>
      </w:r>
      <w:r w:rsidR="00416EC4" w:rsidRPr="00416EC4">
        <w:t xml:space="preserve"> </w:t>
      </w:r>
      <w:r w:rsidR="00416EC4" w:rsidRPr="00A96C6E">
        <w:t>“</w:t>
      </w:r>
      <w:r w:rsidR="00416EC4" w:rsidRPr="002E1DA0">
        <w:rPr>
          <w:i/>
        </w:rPr>
        <w:t>Short-</w:t>
      </w:r>
      <w:proofErr w:type="spellStart"/>
      <w:r w:rsidR="00416EC4" w:rsidRPr="002E1DA0">
        <w:rPr>
          <w:i/>
        </w:rPr>
        <w:t>term</w:t>
      </w:r>
      <w:proofErr w:type="spellEnd"/>
      <w:r w:rsidR="00416EC4" w:rsidRPr="002E1DA0">
        <w:rPr>
          <w:i/>
        </w:rPr>
        <w:t xml:space="preserve"> Action Plan project list</w:t>
      </w:r>
      <w:r w:rsidR="00416EC4">
        <w:t>”,</w:t>
      </w:r>
      <w:r w:rsidRPr="00A96C6E">
        <w:t xml:space="preserve"> </w:t>
      </w:r>
      <w:r w:rsidR="00416EC4">
        <w:t xml:space="preserve">dinamica e quindi sempre aperta a possibili integrazioni, </w:t>
      </w:r>
      <w:r w:rsidR="00732458">
        <w:t xml:space="preserve">si trovano </w:t>
      </w:r>
      <w:r w:rsidR="00C139AE" w:rsidRPr="00F63DA4">
        <w:t>20</w:t>
      </w:r>
      <w:r w:rsidR="009866D6" w:rsidRPr="00C139AE">
        <w:t xml:space="preserve"> azioni </w:t>
      </w:r>
      <w:r w:rsidRPr="00C139AE">
        <w:t>sul territorio europeo</w:t>
      </w:r>
      <w:r w:rsidR="00C139AE" w:rsidRPr="00F63DA4">
        <w:t>, 20</w:t>
      </w:r>
      <w:r w:rsidR="009866D6" w:rsidRPr="00C139AE">
        <w:t xml:space="preserve"> su </w:t>
      </w:r>
      <w:r w:rsidRPr="00C139AE">
        <w:t>quello cinese</w:t>
      </w:r>
      <w:r w:rsidR="002D4FDD">
        <w:t xml:space="preserve"> e 9 sul territorio di Paesi t</w:t>
      </w:r>
      <w:r w:rsidR="00C139AE">
        <w:t>erzi partner dell’UE</w:t>
      </w:r>
      <w:r w:rsidRPr="00A96C6E">
        <w:t>, su cui è convenuto l’interesse delle parti</w:t>
      </w:r>
      <w:r w:rsidR="00732458">
        <w:t xml:space="preserve">; tra esse figurano, </w:t>
      </w:r>
      <w:r w:rsidR="00416EC4">
        <w:t>sin dall’</w:t>
      </w:r>
      <w:r w:rsidR="00732458">
        <w:t>avvio del processo</w:t>
      </w:r>
      <w:r w:rsidR="009866D6" w:rsidRPr="00A96C6E">
        <w:t>,</w:t>
      </w:r>
      <w:r w:rsidR="00732458">
        <w:t xml:space="preserve"> due progettualità italiane</w:t>
      </w:r>
      <w:r w:rsidRPr="00A96C6E">
        <w:t xml:space="preserve"> afferenti </w:t>
      </w:r>
      <w:r w:rsidR="00732458">
        <w:t xml:space="preserve">entrambe </w:t>
      </w:r>
      <w:r w:rsidRPr="00A96C6E">
        <w:t>al settore marittimo, relative</w:t>
      </w:r>
      <w:r w:rsidR="00382E93" w:rsidRPr="00A96C6E">
        <w:t xml:space="preserve"> ai porti </w:t>
      </w:r>
      <w:r w:rsidR="00BE71C5" w:rsidRPr="00A96C6E">
        <w:t xml:space="preserve">di Trieste e di Genova e </w:t>
      </w:r>
      <w:r w:rsidR="00382E93" w:rsidRPr="00A96C6E">
        <w:t xml:space="preserve">più specificatamente </w:t>
      </w:r>
      <w:r w:rsidR="00BE71C5" w:rsidRPr="00A96C6E">
        <w:t xml:space="preserve">concernenti il sistema integrato di trasporto ferroviario </w:t>
      </w:r>
      <w:r w:rsidR="009866D6" w:rsidRPr="00A96C6E">
        <w:t>del porto di Trieste</w:t>
      </w:r>
      <w:r w:rsidR="00BE71C5" w:rsidRPr="00A96C6E">
        <w:t xml:space="preserve"> “</w:t>
      </w:r>
      <w:r w:rsidR="00BE71C5" w:rsidRPr="00D30474">
        <w:rPr>
          <w:i/>
        </w:rPr>
        <w:t xml:space="preserve">Trieste </w:t>
      </w:r>
      <w:proofErr w:type="spellStart"/>
      <w:r w:rsidR="00382E93" w:rsidRPr="00D30474">
        <w:rPr>
          <w:i/>
        </w:rPr>
        <w:t>Integrated</w:t>
      </w:r>
      <w:proofErr w:type="spellEnd"/>
      <w:r w:rsidR="00382E93" w:rsidRPr="00D30474">
        <w:rPr>
          <w:i/>
        </w:rPr>
        <w:t xml:space="preserve"> </w:t>
      </w:r>
      <w:proofErr w:type="spellStart"/>
      <w:r w:rsidR="00BE71C5" w:rsidRPr="00D30474">
        <w:rPr>
          <w:i/>
        </w:rPr>
        <w:t>Rail</w:t>
      </w:r>
      <w:proofErr w:type="spellEnd"/>
      <w:r w:rsidR="00BE71C5" w:rsidRPr="00D30474">
        <w:rPr>
          <w:i/>
        </w:rPr>
        <w:t xml:space="preserve"> </w:t>
      </w:r>
      <w:r w:rsidR="00382E93" w:rsidRPr="00D30474">
        <w:rPr>
          <w:i/>
        </w:rPr>
        <w:t>Hub</w:t>
      </w:r>
      <w:r w:rsidR="00382E93" w:rsidRPr="00A96C6E">
        <w:t xml:space="preserve"> (TRIHUB)</w:t>
      </w:r>
      <w:r w:rsidR="00BE71C5" w:rsidRPr="00A96C6E">
        <w:t>” e la diga foranea del porto di Genova “</w:t>
      </w:r>
      <w:r w:rsidR="00382E93" w:rsidRPr="00D30474">
        <w:rPr>
          <w:i/>
        </w:rPr>
        <w:t>Genoa</w:t>
      </w:r>
      <w:r w:rsidR="00BE71C5" w:rsidRPr="00D30474">
        <w:rPr>
          <w:i/>
        </w:rPr>
        <w:t xml:space="preserve"> port</w:t>
      </w:r>
      <w:r w:rsidR="00382E93" w:rsidRPr="00D30474">
        <w:rPr>
          <w:i/>
        </w:rPr>
        <w:t xml:space="preserve"> </w:t>
      </w:r>
      <w:proofErr w:type="spellStart"/>
      <w:r w:rsidR="00BE71C5" w:rsidRPr="00D30474">
        <w:rPr>
          <w:i/>
        </w:rPr>
        <w:t>Breakwater</w:t>
      </w:r>
      <w:proofErr w:type="spellEnd"/>
      <w:r w:rsidR="00BE71C5" w:rsidRPr="00D30474">
        <w:rPr>
          <w:i/>
        </w:rPr>
        <w:t xml:space="preserve"> project</w:t>
      </w:r>
      <w:r w:rsidR="00BE71C5" w:rsidRPr="00A96C6E">
        <w:t>”</w:t>
      </w:r>
      <w:r w:rsidR="00382E93" w:rsidRPr="00A96C6E">
        <w:t xml:space="preserve">. </w:t>
      </w:r>
    </w:p>
    <w:p w14:paraId="1FE9FD71" w14:textId="77777777" w:rsidR="00C139AE" w:rsidRDefault="00061884" w:rsidP="00F63DA4">
      <w:pPr>
        <w:pStyle w:val="Paragrafoelenco"/>
        <w:ind w:left="0" w:firstLine="709"/>
      </w:pPr>
      <w:r w:rsidRPr="00F63DA4">
        <w:t xml:space="preserve">Nel corso </w:t>
      </w:r>
      <w:r w:rsidR="00C139AE" w:rsidRPr="00F63DA4">
        <w:t>del</w:t>
      </w:r>
      <w:r w:rsidRPr="00F63DA4">
        <w:t xml:space="preserve"> 2019, </w:t>
      </w:r>
      <w:r w:rsidR="002E1DA0">
        <w:t>i</w:t>
      </w:r>
      <w:r w:rsidR="00C139AE">
        <w:t>n occasione della 4</w:t>
      </w:r>
      <w:r w:rsidR="00C139AE" w:rsidRPr="00A0460D">
        <w:rPr>
          <w:vertAlign w:val="superscript"/>
        </w:rPr>
        <w:t>a</w:t>
      </w:r>
      <w:r w:rsidR="00C139AE">
        <w:t xml:space="preserve"> riunione dei Presidenti svoltasi a Bruxelles, entrambe le parti hanno concordato di avviare uno studio congiunto sui corridoi di trasporto ferroviari sostenibili tra l'Europa e la Cina, impegno che è stato anche approvato dai leader del 21° vertice UE-Cina del 9 aprile 2019 (paragrafo </w:t>
      </w:r>
      <w:r w:rsidR="00A0460D">
        <w:t>n.</w:t>
      </w:r>
      <w:r w:rsidR="00C139AE">
        <w:t xml:space="preserve">17 della dichiarazione comune). Lo studio dovrà esaminare la "sostenibilità" nel suo senso più ampio (ambientale, finanziario, fiscale e sociale) e seguire i principi di trasparenza, apertura e </w:t>
      </w:r>
      <w:r w:rsidR="00C139AE">
        <w:lastRenderedPageBreak/>
        <w:t xml:space="preserve">parità di condizioni. Nel corso dell'attuazione dello studio si svolgeranno ampie consultazioni con tutti i paesi interessati, gli Stati membri dell'UE, i rappresentanti del settore, la società civile e le pertinenti organizzazioni internazionali. </w:t>
      </w:r>
    </w:p>
    <w:p w14:paraId="6EACABE5" w14:textId="77777777" w:rsidR="007B65D7" w:rsidRDefault="00BE71C5" w:rsidP="00511788">
      <w:pPr>
        <w:ind w:firstLine="709"/>
        <w:jc w:val="both"/>
      </w:pPr>
      <w:r w:rsidRPr="00A96C6E">
        <w:t>Nel corso del</w:t>
      </w:r>
      <w:r w:rsidR="00061884">
        <w:t xml:space="preserve"> più recente</w:t>
      </w:r>
      <w:r w:rsidRPr="00A96C6E">
        <w:t xml:space="preserve"> incontro del Gruppo di Lavoro tenutosi</w:t>
      </w:r>
      <w:r w:rsidR="00382E93" w:rsidRPr="00A96C6E">
        <w:t xml:space="preserve"> a Bruxe</w:t>
      </w:r>
      <w:r w:rsidRPr="00A96C6E">
        <w:t>lles nel mese di novembre 201</w:t>
      </w:r>
      <w:r w:rsidR="00061884">
        <w:t>9</w:t>
      </w:r>
      <w:r w:rsidRPr="00A96C6E">
        <w:t xml:space="preserve"> oltre a fornire lo stato dell’arte dei progetti </w:t>
      </w:r>
      <w:r w:rsidR="008E1309" w:rsidRPr="00A96C6E">
        <w:t xml:space="preserve">è stata confermata la volontà </w:t>
      </w:r>
      <w:r w:rsidRPr="00A96C6E">
        <w:t xml:space="preserve">di avviare </w:t>
      </w:r>
      <w:r w:rsidR="002E1DA0">
        <w:t>tale</w:t>
      </w:r>
      <w:r w:rsidR="002E1DA0" w:rsidRPr="00A96C6E">
        <w:t xml:space="preserve"> </w:t>
      </w:r>
      <w:r w:rsidR="00382E93" w:rsidRPr="00A96C6E">
        <w:t xml:space="preserve">studio </w:t>
      </w:r>
      <w:r w:rsidR="009866D6" w:rsidRPr="00A96C6E">
        <w:t xml:space="preserve">su potenziali </w:t>
      </w:r>
      <w:r w:rsidR="00AD3F95">
        <w:t>C</w:t>
      </w:r>
      <w:r w:rsidR="00382E93" w:rsidRPr="00A96C6E">
        <w:t>orridoi ferroviari</w:t>
      </w:r>
      <w:r w:rsidR="008E1309" w:rsidRPr="00A96C6E">
        <w:t xml:space="preserve"> </w:t>
      </w:r>
      <w:r w:rsidR="009866D6" w:rsidRPr="00A96C6E">
        <w:t>denominato “</w:t>
      </w:r>
      <w:r w:rsidR="009866D6" w:rsidRPr="00D30474">
        <w:rPr>
          <w:i/>
        </w:rPr>
        <w:t xml:space="preserve">Joint Study </w:t>
      </w:r>
      <w:proofErr w:type="spellStart"/>
      <w:r w:rsidR="009866D6" w:rsidRPr="00D30474">
        <w:rPr>
          <w:i/>
        </w:rPr>
        <w:t>Sustainable</w:t>
      </w:r>
      <w:proofErr w:type="spellEnd"/>
      <w:r w:rsidR="009866D6" w:rsidRPr="00D30474">
        <w:rPr>
          <w:i/>
        </w:rPr>
        <w:t xml:space="preserve"> Railway-</w:t>
      </w:r>
      <w:proofErr w:type="spellStart"/>
      <w:r w:rsidR="009866D6" w:rsidRPr="00D30474">
        <w:rPr>
          <w:i/>
        </w:rPr>
        <w:t>based</w:t>
      </w:r>
      <w:proofErr w:type="spellEnd"/>
      <w:r w:rsidR="009866D6" w:rsidRPr="00D30474">
        <w:rPr>
          <w:i/>
        </w:rPr>
        <w:t xml:space="preserve"> </w:t>
      </w:r>
      <w:proofErr w:type="spellStart"/>
      <w:r w:rsidR="009866D6" w:rsidRPr="00D30474">
        <w:rPr>
          <w:i/>
        </w:rPr>
        <w:t>Corridors</w:t>
      </w:r>
      <w:proofErr w:type="spellEnd"/>
      <w:r w:rsidR="009866D6" w:rsidRPr="00A96C6E">
        <w:t>”</w:t>
      </w:r>
      <w:r w:rsidR="00382E93" w:rsidRPr="00A96C6E">
        <w:t>,</w:t>
      </w:r>
      <w:r w:rsidR="00416EC4" w:rsidRPr="00416EC4">
        <w:t xml:space="preserve"> </w:t>
      </w:r>
      <w:r w:rsidR="00416EC4" w:rsidRPr="00A96C6E">
        <w:t>per definire i collegamenti ferroviari più appropriati</w:t>
      </w:r>
      <w:r w:rsidR="00416EC4">
        <w:t xml:space="preserve"> ed</w:t>
      </w:r>
      <w:r w:rsidR="00382E93" w:rsidRPr="00A96C6E">
        <w:t xml:space="preserve"> </w:t>
      </w:r>
      <w:r w:rsidR="009866D6" w:rsidRPr="00A96C6E">
        <w:t xml:space="preserve">i </w:t>
      </w:r>
      <w:r w:rsidR="00382E93" w:rsidRPr="00A96C6E">
        <w:t>possibili colli di bottiglia</w:t>
      </w:r>
      <w:r w:rsidR="00416EC4">
        <w:t>,</w:t>
      </w:r>
      <w:r w:rsidR="00382E93" w:rsidRPr="00A96C6E">
        <w:t xml:space="preserve"> </w:t>
      </w:r>
      <w:r w:rsidR="00416EC4" w:rsidRPr="00A96C6E">
        <w:t>identificare e stabilire la priorità dei tratti mancanti per migliorare la capacità e l'efficienza della connettività.</w:t>
      </w:r>
      <w:r w:rsidR="00416EC4">
        <w:t xml:space="preserve">  Lo studio si prefigge, </w:t>
      </w:r>
      <w:r w:rsidR="00416EC4" w:rsidRPr="00A96C6E">
        <w:t>altresì</w:t>
      </w:r>
      <w:r w:rsidR="00416EC4">
        <w:t>, di individuare</w:t>
      </w:r>
      <w:r w:rsidR="00416EC4" w:rsidRPr="00A96C6E">
        <w:t xml:space="preserve"> i prin</w:t>
      </w:r>
      <w:r w:rsidR="00416EC4">
        <w:t>cipali hub multimodali lungo i C</w:t>
      </w:r>
      <w:r w:rsidR="00416EC4" w:rsidRPr="00A96C6E">
        <w:t>orridoi UE-Cina per migliorare la qualità delle infrastrutture e dei servizi connessi.</w:t>
      </w:r>
      <w:r w:rsidR="008E1309" w:rsidRPr="00A96C6E">
        <w:t xml:space="preserve"> Tali corridoi si baseranno sui tracciati dei Corridoi TEN-T (ivi inclusa la potenziale loro estensione verso i Balcani occidentali e i </w:t>
      </w:r>
      <w:r w:rsidR="00F25599">
        <w:t>Paesi</w:t>
      </w:r>
      <w:r w:rsidR="008E1309" w:rsidRPr="00A96C6E">
        <w:t xml:space="preserve"> del </w:t>
      </w:r>
      <w:r w:rsidR="006F217A">
        <w:t>Partenariato</w:t>
      </w:r>
      <w:r w:rsidR="008E1309" w:rsidRPr="00A96C6E">
        <w:t xml:space="preserve"> orientale) e i collegamenti con la Cina considerando sia infrastrutture di nuova costruzione che già esistenti e puntando ad obiettivi legati alla sostenibilità, interoperabilità e multimodalità. Lo studio verrà svolto da un soggetto esperto indipendente indicativamente entro un anno dal suo affidamento.</w:t>
      </w:r>
      <w:r w:rsidR="00831908">
        <w:t xml:space="preserve"> </w:t>
      </w:r>
      <w:r w:rsidR="00061884">
        <w:t xml:space="preserve"> Al momento è pubblicato sul sito europeo il documento che definisce le specifiche dello studio, </w:t>
      </w:r>
      <w:proofErr w:type="spellStart"/>
      <w:r w:rsidR="00061884" w:rsidRPr="00F63DA4">
        <w:rPr>
          <w:i/>
        </w:rPr>
        <w:t>Terms</w:t>
      </w:r>
      <w:proofErr w:type="spellEnd"/>
      <w:r w:rsidR="00061884" w:rsidRPr="00F63DA4">
        <w:rPr>
          <w:i/>
        </w:rPr>
        <w:t xml:space="preserve"> of Reference</w:t>
      </w:r>
      <w:r w:rsidR="00511788">
        <w:t>.</w:t>
      </w:r>
    </w:p>
    <w:p w14:paraId="714B53D8" w14:textId="77777777" w:rsidR="00BE04A6" w:rsidRDefault="00BE04A6" w:rsidP="007B65D7">
      <w:pPr>
        <w:jc w:val="both"/>
      </w:pPr>
    </w:p>
    <w:p w14:paraId="71DC75C9" w14:textId="77777777" w:rsidR="00DE4399" w:rsidRDefault="00DE4399" w:rsidP="007B65D7">
      <w:pPr>
        <w:jc w:val="both"/>
      </w:pPr>
    </w:p>
    <w:p w14:paraId="319F84A6" w14:textId="77777777" w:rsidR="001670A2" w:rsidRDefault="00C6166A">
      <w:pPr>
        <w:jc w:val="both"/>
        <w:rPr>
          <w:b/>
          <w:bCs/>
        </w:rPr>
      </w:pPr>
      <w:bookmarkStart w:id="2" w:name="_Hlk6591197"/>
      <w:r w:rsidRPr="00F6434E">
        <w:rPr>
          <w:b/>
          <w:bCs/>
        </w:rPr>
        <w:t>XI.</w:t>
      </w:r>
      <w:r w:rsidR="00A76B30">
        <w:rPr>
          <w:b/>
          <w:bCs/>
        </w:rPr>
        <w:t>4</w:t>
      </w:r>
      <w:r w:rsidRPr="00F6434E">
        <w:rPr>
          <w:b/>
          <w:bCs/>
        </w:rPr>
        <w:t xml:space="preserve"> </w:t>
      </w:r>
      <w:bookmarkEnd w:id="2"/>
      <w:r w:rsidR="00485233">
        <w:rPr>
          <w:b/>
          <w:bCs/>
        </w:rPr>
        <w:t>-</w:t>
      </w:r>
      <w:r w:rsidRPr="00F6434E">
        <w:rPr>
          <w:b/>
          <w:bCs/>
        </w:rPr>
        <w:t xml:space="preserve"> </w:t>
      </w:r>
      <w:r w:rsidR="00ED15F0" w:rsidRPr="00F6434E">
        <w:rPr>
          <w:b/>
          <w:bCs/>
        </w:rPr>
        <w:t>P</w:t>
      </w:r>
      <w:r w:rsidR="001670A2">
        <w:rPr>
          <w:b/>
          <w:bCs/>
        </w:rPr>
        <w:t xml:space="preserve">rogrammazione TEN-T </w:t>
      </w:r>
      <w:r w:rsidR="00937C1D">
        <w:rPr>
          <w:b/>
          <w:bCs/>
        </w:rPr>
        <w:t xml:space="preserve">e </w:t>
      </w:r>
      <w:r w:rsidR="001670A2">
        <w:rPr>
          <w:b/>
          <w:bCs/>
        </w:rPr>
        <w:t>CEF</w:t>
      </w:r>
      <w:r w:rsidR="00ED15F0">
        <w:rPr>
          <w:b/>
          <w:bCs/>
        </w:rPr>
        <w:t xml:space="preserve"> </w:t>
      </w:r>
    </w:p>
    <w:p w14:paraId="4FB0AC0C" w14:textId="77777777" w:rsidR="00DE4399" w:rsidRDefault="00DE4399">
      <w:pPr>
        <w:jc w:val="both"/>
        <w:rPr>
          <w:b/>
          <w:bCs/>
          <w:shd w:val="clear" w:color="auto" w:fill="FFFF00"/>
        </w:rPr>
      </w:pPr>
    </w:p>
    <w:p w14:paraId="47C516BC" w14:textId="77777777" w:rsidR="00343FB0" w:rsidRDefault="00A76B30">
      <w:pPr>
        <w:jc w:val="both"/>
        <w:rPr>
          <w:b/>
          <w:bCs/>
        </w:rPr>
      </w:pPr>
      <w:r>
        <w:rPr>
          <w:b/>
          <w:bCs/>
        </w:rPr>
        <w:t>XI.4</w:t>
      </w:r>
      <w:r w:rsidR="001670A2">
        <w:rPr>
          <w:b/>
          <w:bCs/>
        </w:rPr>
        <w:t xml:space="preserve">.1 </w:t>
      </w:r>
      <w:r w:rsidR="00485233">
        <w:rPr>
          <w:b/>
          <w:bCs/>
        </w:rPr>
        <w:t>-</w:t>
      </w:r>
      <w:r w:rsidR="001670A2">
        <w:rPr>
          <w:b/>
          <w:bCs/>
        </w:rPr>
        <w:t xml:space="preserve"> Programmazione TEN-T 2007-2013/2015</w:t>
      </w:r>
    </w:p>
    <w:p w14:paraId="6F0603FC" w14:textId="77777777" w:rsidR="00BE04A6" w:rsidRDefault="00BE04A6">
      <w:pPr>
        <w:ind w:firstLine="708"/>
        <w:jc w:val="both"/>
      </w:pPr>
    </w:p>
    <w:p w14:paraId="54D3C4A5" w14:textId="77777777" w:rsidR="00CE0AB3" w:rsidRDefault="00ED15F0">
      <w:pPr>
        <w:ind w:firstLine="708"/>
        <w:jc w:val="both"/>
      </w:pPr>
      <w:r w:rsidRPr="00CE0AB3">
        <w:t>La Programmazione TEN-T 2007-2013, prorogata</w:t>
      </w:r>
      <w:r w:rsidR="007F58AD" w:rsidRPr="00F6434E">
        <w:t xml:space="preserve"> di due anni</w:t>
      </w:r>
      <w:r w:rsidRPr="00CE0AB3">
        <w:t xml:space="preserve"> </w:t>
      </w:r>
      <w:r w:rsidR="007F58AD" w:rsidRPr="00F6434E">
        <w:t xml:space="preserve">fino </w:t>
      </w:r>
      <w:r w:rsidRPr="00CE0AB3">
        <w:t xml:space="preserve">alla fine del 2015, ha visto </w:t>
      </w:r>
      <w:r w:rsidR="00CE0AB3" w:rsidRPr="00F6434E">
        <w:t>il completamento</w:t>
      </w:r>
      <w:r w:rsidRPr="00CE0AB3">
        <w:t xml:space="preserve"> delle attività di 116 progetti a partecipazione italiana</w:t>
      </w:r>
      <w:r w:rsidR="005C402E">
        <w:t>,</w:t>
      </w:r>
      <w:r w:rsidR="005C402E" w:rsidRPr="005C402E">
        <w:t xml:space="preserve"> </w:t>
      </w:r>
      <w:r w:rsidR="005C402E" w:rsidRPr="00F74F93">
        <w:t>per la maggior parte concentrati nello sviluppo de</w:t>
      </w:r>
      <w:r w:rsidR="005C402E">
        <w:t xml:space="preserve">lla rete ferroviaria e portuale, </w:t>
      </w:r>
      <w:r w:rsidR="00CE0AB3" w:rsidRPr="00F74F93">
        <w:t>per un co</w:t>
      </w:r>
      <w:r w:rsidR="00CE0AB3">
        <w:t>-</w:t>
      </w:r>
      <w:r w:rsidR="00CE0AB3" w:rsidRPr="00F74F93">
        <w:t xml:space="preserve">finanziamento complessivo </w:t>
      </w:r>
      <w:r w:rsidR="00CE0AB3">
        <w:t xml:space="preserve">allocato </w:t>
      </w:r>
      <w:r w:rsidR="00CE0AB3" w:rsidRPr="00F74F93">
        <w:t xml:space="preserve">pari a circa 1.015 milioni di </w:t>
      </w:r>
      <w:r w:rsidR="00CE0AB3">
        <w:t>e</w:t>
      </w:r>
      <w:r w:rsidR="00CE0AB3" w:rsidRPr="00F74F93">
        <w:t>uro</w:t>
      </w:r>
      <w:r w:rsidRPr="00CE0AB3">
        <w:t xml:space="preserve">. </w:t>
      </w:r>
    </w:p>
    <w:p w14:paraId="5B2BCF92" w14:textId="77777777" w:rsidR="00ED15F0" w:rsidRDefault="00F74F93">
      <w:pPr>
        <w:ind w:firstLine="708"/>
        <w:jc w:val="both"/>
      </w:pPr>
      <w:r w:rsidRPr="00F6434E">
        <w:t xml:space="preserve">A valle della conclusione delle </w:t>
      </w:r>
      <w:r w:rsidR="00ED15F0" w:rsidRPr="00CE0AB3">
        <w:t>procedure europee di rendicontazione</w:t>
      </w:r>
      <w:r w:rsidR="007F4CD3">
        <w:t>,</w:t>
      </w:r>
      <w:r w:rsidR="00ED15F0" w:rsidRPr="00CE0AB3">
        <w:t xml:space="preserve"> </w:t>
      </w:r>
      <w:r w:rsidRPr="00F6434E">
        <w:t xml:space="preserve">che </w:t>
      </w:r>
      <w:r w:rsidR="00ED15F0" w:rsidRPr="00CE0AB3">
        <w:t>hanno previsto la presenta</w:t>
      </w:r>
      <w:r w:rsidRPr="00F6434E">
        <w:t>zione dei</w:t>
      </w:r>
      <w:r w:rsidR="00ED15F0" w:rsidRPr="00CE0AB3">
        <w:t xml:space="preserve"> rapporti finali </w:t>
      </w:r>
      <w:r w:rsidRPr="00F6434E">
        <w:t xml:space="preserve">e la loro </w:t>
      </w:r>
      <w:r w:rsidR="00A0460D">
        <w:t xml:space="preserve">conseguente </w:t>
      </w:r>
      <w:r w:rsidRPr="00F6434E">
        <w:t xml:space="preserve">valutazione, </w:t>
      </w:r>
      <w:r w:rsidR="00913DB5">
        <w:t>s</w:t>
      </w:r>
      <w:r w:rsidR="00ED15F0" w:rsidRPr="00583E96">
        <w:t xml:space="preserve">i </w:t>
      </w:r>
      <w:r w:rsidR="00A0460D">
        <w:t xml:space="preserve">è </w:t>
      </w:r>
      <w:r w:rsidR="00ED15F0" w:rsidRPr="00583E96">
        <w:t>rileva</w:t>
      </w:r>
      <w:r w:rsidR="00A0460D">
        <w:t>to</w:t>
      </w:r>
      <w:r w:rsidR="00ED15F0" w:rsidRPr="00583E96">
        <w:t xml:space="preserve"> che i 116 progetti </w:t>
      </w:r>
      <w:proofErr w:type="gramStart"/>
      <w:r w:rsidR="00ED15F0" w:rsidRPr="00583E96">
        <w:t>anno</w:t>
      </w:r>
      <w:proofErr w:type="gramEnd"/>
      <w:r w:rsidR="00ED15F0" w:rsidRPr="00583E96">
        <w:t xml:space="preserve"> comportato</w:t>
      </w:r>
      <w:r w:rsidR="00E50195">
        <w:t xml:space="preserve"> </w:t>
      </w:r>
      <w:r w:rsidR="00ED15F0" w:rsidRPr="00583E96">
        <w:t>un assorbimento compl</w:t>
      </w:r>
      <w:r w:rsidR="00A0460D">
        <w:t>essivo di contributo europeo di</w:t>
      </w:r>
      <w:r w:rsidR="00ED15F0" w:rsidRPr="00583E96">
        <w:t xml:space="preserve"> circa 6</w:t>
      </w:r>
      <w:r w:rsidR="00E50195" w:rsidRPr="00583E96">
        <w:t>37,2</w:t>
      </w:r>
      <w:r w:rsidR="00ED15F0" w:rsidRPr="00583E96">
        <w:t xml:space="preserve"> milioni di </w:t>
      </w:r>
      <w:r w:rsidR="00E50195">
        <w:t>e</w:t>
      </w:r>
      <w:r w:rsidR="00ED15F0" w:rsidRPr="00583E96">
        <w:t>uro</w:t>
      </w:r>
      <w:r w:rsidR="00FF1B59">
        <w:t>, pari</w:t>
      </w:r>
      <w:r w:rsidR="00A0460D">
        <w:t xml:space="preserve"> al 63% del contributo allocato,</w:t>
      </w:r>
      <w:r w:rsidR="00FF1B59">
        <w:t xml:space="preserve"> </w:t>
      </w:r>
      <w:r w:rsidR="00ED15F0" w:rsidRPr="00583E96">
        <w:t xml:space="preserve">ed hanno prodotto una spesa </w:t>
      </w:r>
      <w:r w:rsidR="00FF1B59">
        <w:t xml:space="preserve">per investimenti pari a </w:t>
      </w:r>
      <w:r w:rsidR="00ED15F0" w:rsidRPr="00583E96">
        <w:t xml:space="preserve">circa 2,2 miliardi di </w:t>
      </w:r>
      <w:r w:rsidR="00FF1B59">
        <w:t>e</w:t>
      </w:r>
      <w:r w:rsidR="00ED15F0" w:rsidRPr="00583E96">
        <w:t>uro.</w:t>
      </w:r>
      <w:r w:rsidR="007F4CD3">
        <w:t xml:space="preserve"> </w:t>
      </w:r>
      <w:r w:rsidR="007F4CD3" w:rsidRPr="005D4842">
        <w:t>La percentuale complessiva di assorbimento dei fondi comunitari</w:t>
      </w:r>
      <w:r w:rsidR="005D4842">
        <w:t xml:space="preserve"> per</w:t>
      </w:r>
      <w:r w:rsidR="007F4CD3" w:rsidRPr="005D4842">
        <w:t xml:space="preserve"> </w:t>
      </w:r>
      <w:r w:rsidR="005D4842" w:rsidRPr="005D4842">
        <w:t xml:space="preserve">l’intero programma </w:t>
      </w:r>
      <w:r w:rsidR="005D4842">
        <w:t xml:space="preserve">registrata dalla </w:t>
      </w:r>
      <w:r w:rsidR="000E1C97">
        <w:t>Commissione Europea</w:t>
      </w:r>
      <w:r w:rsidR="005D4842">
        <w:t xml:space="preserve"> </w:t>
      </w:r>
      <w:r w:rsidR="007F4CD3" w:rsidRPr="005D4842">
        <w:t>è</w:t>
      </w:r>
      <w:r w:rsidR="00913DB5">
        <w:t xml:space="preserve"> stata </w:t>
      </w:r>
      <w:r w:rsidR="007F4CD3" w:rsidRPr="005D4842">
        <w:t xml:space="preserve">pari </w:t>
      </w:r>
      <w:r w:rsidR="005D4842" w:rsidRPr="005D4842">
        <w:t>a circa il 76,3</w:t>
      </w:r>
      <w:r w:rsidR="00B16302" w:rsidRPr="005D4842">
        <w:t>%</w:t>
      </w:r>
      <w:r w:rsidR="005D4842">
        <w:t>.</w:t>
      </w:r>
    </w:p>
    <w:p w14:paraId="3AC707E1" w14:textId="77777777" w:rsidR="00A65C56" w:rsidRPr="007B65D7" w:rsidRDefault="00987770">
      <w:pPr>
        <w:ind w:firstLine="708"/>
        <w:jc w:val="both"/>
      </w:pPr>
      <w:r>
        <w:t xml:space="preserve">La </w:t>
      </w:r>
      <w:r w:rsidRPr="00E30300">
        <w:rPr>
          <w:color w:val="auto"/>
        </w:rPr>
        <w:t>Tabella XI.4.1.1</w:t>
      </w:r>
      <w:r w:rsidR="00FF1B59" w:rsidRPr="00E30300">
        <w:rPr>
          <w:color w:val="auto"/>
        </w:rPr>
        <w:t xml:space="preserve"> riporta i dati disponibili dei progetti nazionali TEN-T, relativi alla programmazione </w:t>
      </w:r>
      <w:r w:rsidR="0020461E" w:rsidRPr="00E30300">
        <w:rPr>
          <w:color w:val="auto"/>
        </w:rPr>
        <w:t xml:space="preserve">2007-2013/2015, </w:t>
      </w:r>
      <w:r w:rsidR="00FF1B59" w:rsidRPr="00E30300">
        <w:rPr>
          <w:color w:val="auto"/>
        </w:rPr>
        <w:t xml:space="preserve">suddivisi </w:t>
      </w:r>
      <w:r w:rsidR="00FF1B59">
        <w:t>per modalità di trasporto.</w:t>
      </w:r>
    </w:p>
    <w:p w14:paraId="0086158A" w14:textId="77777777" w:rsidR="00BE04A6" w:rsidRDefault="00BE04A6">
      <w:pPr>
        <w:rPr>
          <w:rFonts w:eastAsiaTheme="majorEastAsia"/>
          <w:b/>
        </w:rPr>
      </w:pPr>
    </w:p>
    <w:p w14:paraId="32F4F798" w14:textId="77777777" w:rsidR="007B65D7" w:rsidRDefault="00987770">
      <w:pPr>
        <w:rPr>
          <w:b/>
          <w:bCs/>
        </w:rPr>
      </w:pPr>
      <w:proofErr w:type="spellStart"/>
      <w:r>
        <w:rPr>
          <w:rFonts w:eastAsiaTheme="majorEastAsia"/>
          <w:b/>
        </w:rPr>
        <w:t>Tab</w:t>
      </w:r>
      <w:proofErr w:type="spellEnd"/>
      <w:r>
        <w:rPr>
          <w:rFonts w:eastAsiaTheme="majorEastAsia"/>
          <w:b/>
        </w:rPr>
        <w:t>. XI.4</w:t>
      </w:r>
      <w:r w:rsidRPr="00B94AD4">
        <w:rPr>
          <w:rFonts w:eastAsiaTheme="majorEastAsia"/>
          <w:b/>
        </w:rPr>
        <w:t>.1</w:t>
      </w:r>
      <w:r>
        <w:rPr>
          <w:rFonts w:eastAsiaTheme="majorEastAsia"/>
          <w:b/>
        </w:rPr>
        <w:t>.1</w:t>
      </w:r>
      <w:r w:rsidRPr="00B94AD4">
        <w:rPr>
          <w:rFonts w:eastAsiaTheme="majorEastAsia"/>
          <w:b/>
        </w:rPr>
        <w:t xml:space="preserve"> </w:t>
      </w:r>
      <w:r>
        <w:rPr>
          <w:rFonts w:eastAsiaTheme="majorEastAsia"/>
          <w:b/>
        </w:rPr>
        <w:t xml:space="preserve">- </w:t>
      </w:r>
      <w:r>
        <w:rPr>
          <w:b/>
          <w:bCs/>
        </w:rPr>
        <w:t>Programmazione TEN-T 2007-2013/2015</w:t>
      </w:r>
    </w:p>
    <w:p w14:paraId="7ACB5F5A" w14:textId="77777777" w:rsidR="00E8535E" w:rsidRDefault="00E8535E">
      <w:pPr>
        <w:rPr>
          <w:b/>
          <w:bCs/>
        </w:rPr>
      </w:pPr>
    </w:p>
    <w:tbl>
      <w:tblPr>
        <w:tblW w:w="10206" w:type="dxa"/>
        <w:tblLayout w:type="fixed"/>
        <w:tblCellMar>
          <w:left w:w="70" w:type="dxa"/>
          <w:right w:w="70" w:type="dxa"/>
        </w:tblCellMar>
        <w:tblLook w:val="04A0" w:firstRow="1" w:lastRow="0" w:firstColumn="1" w:lastColumn="0" w:noHBand="0" w:noVBand="1"/>
      </w:tblPr>
      <w:tblGrid>
        <w:gridCol w:w="2950"/>
        <w:gridCol w:w="748"/>
        <w:gridCol w:w="1636"/>
        <w:gridCol w:w="1617"/>
        <w:gridCol w:w="1617"/>
        <w:gridCol w:w="1638"/>
      </w:tblGrid>
      <w:tr w:rsidR="005C402E" w:rsidRPr="005C402E" w14:paraId="3F3E409B" w14:textId="77777777" w:rsidTr="00031DB9">
        <w:trPr>
          <w:trHeight w:val="900"/>
        </w:trPr>
        <w:tc>
          <w:tcPr>
            <w:tcW w:w="2845" w:type="dxa"/>
            <w:tcBorders>
              <w:top w:val="single" w:sz="4" w:space="0" w:color="auto"/>
              <w:left w:val="nil"/>
              <w:bottom w:val="single" w:sz="4" w:space="0" w:color="auto"/>
              <w:right w:val="nil"/>
            </w:tcBorders>
            <w:noWrap/>
            <w:vAlign w:val="center"/>
            <w:hideMark/>
          </w:tcPr>
          <w:p w14:paraId="671602EE" w14:textId="77777777" w:rsidR="005C402E" w:rsidRPr="00F6434E" w:rsidRDefault="005C402E" w:rsidP="003F4CB7">
            <w:pPr>
              <w:rPr>
                <w:rFonts w:eastAsia="Times New Roman"/>
                <w:b/>
                <w:bCs/>
                <w:sz w:val="20"/>
                <w:szCs w:val="20"/>
              </w:rPr>
            </w:pPr>
            <w:r w:rsidRPr="00F6434E">
              <w:rPr>
                <w:rFonts w:eastAsia="Times New Roman"/>
                <w:b/>
                <w:bCs/>
                <w:sz w:val="20"/>
                <w:szCs w:val="20"/>
              </w:rPr>
              <w:t>Modalità</w:t>
            </w:r>
          </w:p>
        </w:tc>
        <w:tc>
          <w:tcPr>
            <w:tcW w:w="721" w:type="dxa"/>
            <w:tcBorders>
              <w:top w:val="single" w:sz="4" w:space="0" w:color="auto"/>
              <w:left w:val="nil"/>
              <w:bottom w:val="single" w:sz="4" w:space="0" w:color="auto"/>
              <w:right w:val="nil"/>
            </w:tcBorders>
            <w:vAlign w:val="center"/>
            <w:hideMark/>
          </w:tcPr>
          <w:p w14:paraId="527B5707" w14:textId="77777777" w:rsidR="005C402E" w:rsidRPr="00F6434E" w:rsidRDefault="005C402E">
            <w:pPr>
              <w:jc w:val="center"/>
              <w:rPr>
                <w:rFonts w:eastAsia="Times New Roman"/>
                <w:b/>
                <w:bCs/>
                <w:sz w:val="20"/>
                <w:szCs w:val="20"/>
              </w:rPr>
            </w:pPr>
            <w:r w:rsidRPr="00F6434E">
              <w:rPr>
                <w:rFonts w:eastAsia="Times New Roman"/>
                <w:b/>
                <w:bCs/>
                <w:sz w:val="20"/>
                <w:szCs w:val="20"/>
              </w:rPr>
              <w:t>Nr. Azioni</w:t>
            </w:r>
          </w:p>
        </w:tc>
        <w:tc>
          <w:tcPr>
            <w:tcW w:w="1578" w:type="dxa"/>
            <w:tcBorders>
              <w:top w:val="single" w:sz="4" w:space="0" w:color="auto"/>
              <w:left w:val="nil"/>
              <w:bottom w:val="single" w:sz="4" w:space="0" w:color="auto"/>
              <w:right w:val="nil"/>
            </w:tcBorders>
            <w:vAlign w:val="center"/>
          </w:tcPr>
          <w:p w14:paraId="60C676F7" w14:textId="77777777" w:rsidR="005C402E" w:rsidRPr="005C402E" w:rsidRDefault="005C402E">
            <w:pPr>
              <w:ind w:left="78"/>
              <w:jc w:val="center"/>
              <w:rPr>
                <w:rFonts w:eastAsia="Times New Roman"/>
                <w:b/>
                <w:bCs/>
                <w:sz w:val="20"/>
                <w:szCs w:val="20"/>
              </w:rPr>
            </w:pPr>
            <w:r w:rsidRPr="00B47EA8">
              <w:rPr>
                <w:rFonts w:eastAsia="Times New Roman"/>
                <w:b/>
                <w:bCs/>
                <w:sz w:val="20"/>
                <w:szCs w:val="20"/>
              </w:rPr>
              <w:t xml:space="preserve">Totale </w:t>
            </w:r>
            <w:r w:rsidR="00FF1B59">
              <w:rPr>
                <w:rFonts w:eastAsia="Times New Roman"/>
                <w:b/>
                <w:bCs/>
                <w:sz w:val="20"/>
                <w:szCs w:val="20"/>
              </w:rPr>
              <w:t xml:space="preserve">costo </w:t>
            </w:r>
            <w:r>
              <w:rPr>
                <w:rFonts w:eastAsia="Times New Roman"/>
                <w:b/>
                <w:bCs/>
                <w:sz w:val="20"/>
                <w:szCs w:val="20"/>
              </w:rPr>
              <w:t>progetti</w:t>
            </w:r>
            <w:r w:rsidRPr="00B47EA8">
              <w:rPr>
                <w:rFonts w:eastAsia="Times New Roman"/>
                <w:b/>
                <w:bCs/>
                <w:sz w:val="20"/>
                <w:szCs w:val="20"/>
              </w:rPr>
              <w:t xml:space="preserve"> IT</w:t>
            </w:r>
            <w:r w:rsidRPr="00B47EA8">
              <w:rPr>
                <w:rFonts w:eastAsia="Times New Roman"/>
                <w:b/>
                <w:bCs/>
                <w:sz w:val="20"/>
                <w:szCs w:val="20"/>
              </w:rPr>
              <w:br/>
              <w:t>(€)</w:t>
            </w:r>
          </w:p>
        </w:tc>
        <w:tc>
          <w:tcPr>
            <w:tcW w:w="1559" w:type="dxa"/>
            <w:tcBorders>
              <w:top w:val="single" w:sz="4" w:space="0" w:color="auto"/>
              <w:left w:val="nil"/>
              <w:bottom w:val="single" w:sz="4" w:space="0" w:color="auto"/>
              <w:right w:val="nil"/>
            </w:tcBorders>
            <w:vAlign w:val="center"/>
            <w:hideMark/>
          </w:tcPr>
          <w:p w14:paraId="38CED040" w14:textId="77777777" w:rsidR="005C402E" w:rsidRPr="00F6434E" w:rsidRDefault="005C402E">
            <w:pPr>
              <w:jc w:val="center"/>
              <w:rPr>
                <w:rFonts w:eastAsia="Times New Roman"/>
                <w:b/>
                <w:bCs/>
                <w:sz w:val="20"/>
                <w:szCs w:val="20"/>
              </w:rPr>
            </w:pPr>
            <w:r w:rsidRPr="00F6434E">
              <w:rPr>
                <w:rFonts w:eastAsia="Times New Roman"/>
                <w:b/>
                <w:bCs/>
                <w:sz w:val="20"/>
                <w:szCs w:val="20"/>
              </w:rPr>
              <w:t>Totale contributo</w:t>
            </w:r>
            <w:r w:rsidR="00FF1B59">
              <w:rPr>
                <w:rFonts w:eastAsia="Times New Roman"/>
                <w:b/>
                <w:bCs/>
                <w:sz w:val="20"/>
                <w:szCs w:val="20"/>
              </w:rPr>
              <w:t xml:space="preserve"> UE</w:t>
            </w:r>
          </w:p>
          <w:p w14:paraId="7117FE04" w14:textId="77777777" w:rsidR="005C402E" w:rsidRPr="00F6434E" w:rsidRDefault="00FF1B59">
            <w:pPr>
              <w:jc w:val="center"/>
              <w:rPr>
                <w:rFonts w:eastAsia="Times New Roman"/>
                <w:b/>
                <w:bCs/>
                <w:sz w:val="20"/>
                <w:szCs w:val="20"/>
              </w:rPr>
            </w:pPr>
            <w:r>
              <w:rPr>
                <w:rFonts w:eastAsia="Times New Roman"/>
                <w:b/>
                <w:bCs/>
                <w:sz w:val="20"/>
                <w:szCs w:val="20"/>
              </w:rPr>
              <w:t>A</w:t>
            </w:r>
            <w:r w:rsidR="00622AD9">
              <w:rPr>
                <w:rFonts w:eastAsia="Times New Roman"/>
                <w:b/>
                <w:bCs/>
                <w:sz w:val="20"/>
                <w:szCs w:val="20"/>
              </w:rPr>
              <w:t>llocato</w:t>
            </w:r>
            <w:r>
              <w:rPr>
                <w:rFonts w:eastAsia="Times New Roman"/>
                <w:b/>
                <w:bCs/>
                <w:sz w:val="20"/>
                <w:szCs w:val="20"/>
              </w:rPr>
              <w:t xml:space="preserve"> a</w:t>
            </w:r>
            <w:r w:rsidR="005C402E" w:rsidRPr="00F6434E">
              <w:rPr>
                <w:rFonts w:eastAsia="Times New Roman"/>
                <w:b/>
                <w:bCs/>
                <w:sz w:val="20"/>
                <w:szCs w:val="20"/>
              </w:rPr>
              <w:t xml:space="preserve"> IT</w:t>
            </w:r>
            <w:r w:rsidR="005C402E" w:rsidRPr="00F6434E">
              <w:rPr>
                <w:rFonts w:eastAsia="Times New Roman"/>
                <w:b/>
                <w:bCs/>
                <w:sz w:val="20"/>
                <w:szCs w:val="20"/>
              </w:rPr>
              <w:br/>
              <w:t>(€)</w:t>
            </w:r>
          </w:p>
        </w:tc>
        <w:tc>
          <w:tcPr>
            <w:tcW w:w="1559" w:type="dxa"/>
            <w:tcBorders>
              <w:top w:val="single" w:sz="4" w:space="0" w:color="auto"/>
              <w:left w:val="nil"/>
              <w:bottom w:val="single" w:sz="4" w:space="0" w:color="auto"/>
              <w:right w:val="nil"/>
            </w:tcBorders>
            <w:vAlign w:val="center"/>
            <w:hideMark/>
          </w:tcPr>
          <w:p w14:paraId="4078C654" w14:textId="77777777" w:rsidR="005C402E" w:rsidRPr="00F6434E" w:rsidRDefault="005C402E">
            <w:pPr>
              <w:jc w:val="center"/>
              <w:rPr>
                <w:rFonts w:eastAsia="Times New Roman"/>
                <w:b/>
                <w:bCs/>
                <w:sz w:val="20"/>
                <w:szCs w:val="20"/>
              </w:rPr>
            </w:pPr>
            <w:r w:rsidRPr="00F6434E">
              <w:rPr>
                <w:rFonts w:eastAsia="Times New Roman"/>
                <w:b/>
                <w:bCs/>
                <w:sz w:val="20"/>
                <w:szCs w:val="20"/>
              </w:rPr>
              <w:t xml:space="preserve">Totale contributo </w:t>
            </w:r>
            <w:r w:rsidR="00FF1B59">
              <w:rPr>
                <w:rFonts w:eastAsia="Times New Roman"/>
                <w:b/>
                <w:bCs/>
                <w:sz w:val="20"/>
                <w:szCs w:val="20"/>
              </w:rPr>
              <w:t xml:space="preserve">UE </w:t>
            </w:r>
            <w:r w:rsidR="00622AD9">
              <w:rPr>
                <w:rFonts w:eastAsia="Times New Roman"/>
                <w:b/>
                <w:bCs/>
                <w:sz w:val="20"/>
                <w:szCs w:val="20"/>
              </w:rPr>
              <w:t>incassato</w:t>
            </w:r>
            <w:r w:rsidR="00FF1B59">
              <w:rPr>
                <w:rFonts w:eastAsia="Times New Roman"/>
                <w:b/>
                <w:bCs/>
                <w:sz w:val="20"/>
                <w:szCs w:val="20"/>
              </w:rPr>
              <w:t xml:space="preserve"> da</w:t>
            </w:r>
            <w:r w:rsidRPr="00F6434E">
              <w:rPr>
                <w:rFonts w:eastAsia="Times New Roman"/>
                <w:b/>
                <w:bCs/>
                <w:sz w:val="20"/>
                <w:szCs w:val="20"/>
              </w:rPr>
              <w:t xml:space="preserve"> IT</w:t>
            </w:r>
            <w:r w:rsidRPr="00F6434E">
              <w:rPr>
                <w:rFonts w:eastAsia="Times New Roman"/>
                <w:b/>
                <w:bCs/>
                <w:sz w:val="20"/>
                <w:szCs w:val="20"/>
              </w:rPr>
              <w:br/>
              <w:t>(€)</w:t>
            </w:r>
          </w:p>
        </w:tc>
        <w:tc>
          <w:tcPr>
            <w:tcW w:w="1580" w:type="dxa"/>
            <w:tcBorders>
              <w:top w:val="single" w:sz="4" w:space="0" w:color="auto"/>
              <w:left w:val="nil"/>
              <w:bottom w:val="single" w:sz="4" w:space="0" w:color="auto"/>
              <w:right w:val="nil"/>
            </w:tcBorders>
            <w:noWrap/>
            <w:vAlign w:val="center"/>
            <w:hideMark/>
          </w:tcPr>
          <w:p w14:paraId="745D6D7D" w14:textId="77777777" w:rsidR="005C402E" w:rsidRPr="00F6434E" w:rsidRDefault="005C402E" w:rsidP="007F4CD3">
            <w:pPr>
              <w:jc w:val="center"/>
              <w:rPr>
                <w:rFonts w:eastAsia="Times New Roman"/>
                <w:b/>
                <w:bCs/>
                <w:sz w:val="20"/>
                <w:szCs w:val="20"/>
              </w:rPr>
            </w:pPr>
            <w:r w:rsidRPr="00B47EA8">
              <w:rPr>
                <w:rFonts w:eastAsia="Times New Roman"/>
                <w:b/>
                <w:bCs/>
                <w:sz w:val="20"/>
                <w:szCs w:val="20"/>
              </w:rPr>
              <w:t xml:space="preserve">Totale </w:t>
            </w:r>
            <w:r w:rsidR="00622AD9">
              <w:rPr>
                <w:rFonts w:eastAsia="Times New Roman"/>
                <w:b/>
                <w:bCs/>
                <w:sz w:val="20"/>
                <w:szCs w:val="20"/>
              </w:rPr>
              <w:t>importo speso</w:t>
            </w:r>
            <w:r w:rsidRPr="00B47EA8">
              <w:rPr>
                <w:rFonts w:eastAsia="Times New Roman"/>
                <w:b/>
                <w:bCs/>
                <w:sz w:val="20"/>
                <w:szCs w:val="20"/>
              </w:rPr>
              <w:t xml:space="preserve"> IT</w:t>
            </w:r>
            <w:r w:rsidRPr="00B47EA8">
              <w:rPr>
                <w:rFonts w:eastAsia="Times New Roman"/>
                <w:b/>
                <w:bCs/>
                <w:sz w:val="20"/>
                <w:szCs w:val="20"/>
              </w:rPr>
              <w:br/>
              <w:t>(€)</w:t>
            </w:r>
          </w:p>
        </w:tc>
      </w:tr>
      <w:tr w:rsidR="005C64B5" w:rsidRPr="005C402E" w14:paraId="705036D0" w14:textId="77777777" w:rsidTr="00031DB9">
        <w:trPr>
          <w:trHeight w:val="280"/>
        </w:trPr>
        <w:tc>
          <w:tcPr>
            <w:tcW w:w="2845" w:type="dxa"/>
            <w:noWrap/>
            <w:vAlign w:val="center"/>
            <w:hideMark/>
          </w:tcPr>
          <w:p w14:paraId="52415F3C" w14:textId="77777777" w:rsidR="005C64B5" w:rsidRPr="00F6434E" w:rsidRDefault="002F4F43">
            <w:pPr>
              <w:rPr>
                <w:rFonts w:eastAsia="Times New Roman"/>
                <w:sz w:val="20"/>
                <w:szCs w:val="20"/>
              </w:rPr>
            </w:pPr>
            <w:r w:rsidRPr="00F6434E">
              <w:rPr>
                <w:sz w:val="20"/>
                <w:szCs w:val="20"/>
              </w:rPr>
              <w:t>E</w:t>
            </w:r>
            <w:r w:rsidR="00B76C6E">
              <w:rPr>
                <w:sz w:val="20"/>
                <w:szCs w:val="20"/>
              </w:rPr>
              <w:t>RTMS</w:t>
            </w:r>
            <w:r w:rsidRPr="00F6434E">
              <w:rPr>
                <w:sz w:val="20"/>
                <w:szCs w:val="20"/>
              </w:rPr>
              <w:t>/Ferroviaria</w:t>
            </w:r>
          </w:p>
        </w:tc>
        <w:tc>
          <w:tcPr>
            <w:tcW w:w="721" w:type="dxa"/>
            <w:noWrap/>
            <w:vAlign w:val="center"/>
            <w:hideMark/>
          </w:tcPr>
          <w:p w14:paraId="30EF7456" w14:textId="77777777" w:rsidR="005C64B5" w:rsidRPr="00F6434E" w:rsidRDefault="005C64B5">
            <w:pPr>
              <w:jc w:val="center"/>
              <w:rPr>
                <w:rFonts w:eastAsia="Times New Roman"/>
                <w:sz w:val="20"/>
                <w:szCs w:val="20"/>
              </w:rPr>
            </w:pPr>
            <w:r w:rsidRPr="00F6434E">
              <w:rPr>
                <w:rFonts w:eastAsia="Times New Roman"/>
                <w:sz w:val="20"/>
                <w:szCs w:val="20"/>
              </w:rPr>
              <w:t>47</w:t>
            </w:r>
          </w:p>
        </w:tc>
        <w:tc>
          <w:tcPr>
            <w:tcW w:w="1578" w:type="dxa"/>
            <w:vAlign w:val="center"/>
          </w:tcPr>
          <w:p w14:paraId="6D4EE487" w14:textId="77777777" w:rsidR="005C64B5" w:rsidRPr="005C402E" w:rsidRDefault="00E50195" w:rsidP="00F6434E">
            <w:pPr>
              <w:jc w:val="right"/>
              <w:rPr>
                <w:rFonts w:eastAsia="Times New Roman"/>
                <w:sz w:val="20"/>
                <w:szCs w:val="20"/>
              </w:rPr>
            </w:pPr>
            <w:r>
              <w:rPr>
                <w:rFonts w:eastAsia="Times New Roman"/>
                <w:sz w:val="20"/>
                <w:szCs w:val="20"/>
              </w:rPr>
              <w:t>2.719.918.213</w:t>
            </w:r>
          </w:p>
        </w:tc>
        <w:tc>
          <w:tcPr>
            <w:tcW w:w="1559" w:type="dxa"/>
            <w:noWrap/>
            <w:vAlign w:val="center"/>
          </w:tcPr>
          <w:p w14:paraId="06A1EE5B" w14:textId="77777777" w:rsidR="005C64B5" w:rsidRPr="00F6434E" w:rsidRDefault="005C64B5" w:rsidP="00F6434E">
            <w:pPr>
              <w:jc w:val="right"/>
              <w:rPr>
                <w:rFonts w:eastAsia="Times New Roman"/>
                <w:sz w:val="20"/>
                <w:szCs w:val="20"/>
              </w:rPr>
            </w:pPr>
            <w:r w:rsidRPr="005C402E">
              <w:rPr>
                <w:rFonts w:eastAsia="Times New Roman"/>
                <w:sz w:val="20"/>
                <w:szCs w:val="20"/>
              </w:rPr>
              <w:t>858.857.269</w:t>
            </w:r>
          </w:p>
        </w:tc>
        <w:tc>
          <w:tcPr>
            <w:tcW w:w="1559" w:type="dxa"/>
            <w:noWrap/>
            <w:vAlign w:val="center"/>
          </w:tcPr>
          <w:p w14:paraId="0D41CE56" w14:textId="77777777" w:rsidR="005C64B5" w:rsidRPr="00F6434E" w:rsidRDefault="00E50195" w:rsidP="00F6434E">
            <w:pPr>
              <w:jc w:val="right"/>
              <w:rPr>
                <w:rFonts w:eastAsia="Times New Roman"/>
                <w:sz w:val="20"/>
                <w:szCs w:val="20"/>
              </w:rPr>
            </w:pPr>
            <w:r>
              <w:rPr>
                <w:rFonts w:eastAsia="Times New Roman"/>
                <w:sz w:val="20"/>
                <w:szCs w:val="20"/>
              </w:rPr>
              <w:t>527.033.117</w:t>
            </w:r>
          </w:p>
        </w:tc>
        <w:tc>
          <w:tcPr>
            <w:tcW w:w="1580" w:type="dxa"/>
            <w:noWrap/>
            <w:vAlign w:val="center"/>
          </w:tcPr>
          <w:p w14:paraId="30957257" w14:textId="77777777" w:rsidR="005C64B5" w:rsidRPr="00F6434E" w:rsidRDefault="00E50195" w:rsidP="00F6434E">
            <w:pPr>
              <w:jc w:val="right"/>
              <w:rPr>
                <w:rFonts w:eastAsia="Times New Roman"/>
                <w:sz w:val="20"/>
                <w:szCs w:val="20"/>
              </w:rPr>
            </w:pPr>
            <w:r>
              <w:rPr>
                <w:rFonts w:eastAsia="Times New Roman"/>
                <w:sz w:val="20"/>
                <w:szCs w:val="20"/>
              </w:rPr>
              <w:t>1.598.977.628</w:t>
            </w:r>
          </w:p>
        </w:tc>
      </w:tr>
      <w:tr w:rsidR="005C64B5" w:rsidRPr="005C402E" w14:paraId="46EEB70E" w14:textId="77777777" w:rsidTr="00031DB9">
        <w:trPr>
          <w:trHeight w:val="280"/>
        </w:trPr>
        <w:tc>
          <w:tcPr>
            <w:tcW w:w="2845" w:type="dxa"/>
            <w:noWrap/>
            <w:vAlign w:val="center"/>
            <w:hideMark/>
          </w:tcPr>
          <w:p w14:paraId="5053C724" w14:textId="77777777" w:rsidR="005C64B5" w:rsidRPr="00F6434E" w:rsidRDefault="002F4F43">
            <w:pPr>
              <w:rPr>
                <w:rFonts w:eastAsia="Times New Roman"/>
                <w:sz w:val="20"/>
                <w:szCs w:val="20"/>
              </w:rPr>
            </w:pPr>
            <w:r w:rsidRPr="00F6434E">
              <w:rPr>
                <w:sz w:val="20"/>
                <w:szCs w:val="20"/>
              </w:rPr>
              <w:t>I</w:t>
            </w:r>
            <w:r w:rsidR="00B76C6E">
              <w:rPr>
                <w:sz w:val="20"/>
                <w:szCs w:val="20"/>
              </w:rPr>
              <w:t>TS</w:t>
            </w:r>
            <w:r w:rsidRPr="00F6434E">
              <w:rPr>
                <w:sz w:val="20"/>
                <w:szCs w:val="20"/>
              </w:rPr>
              <w:t>/Stradale</w:t>
            </w:r>
          </w:p>
        </w:tc>
        <w:tc>
          <w:tcPr>
            <w:tcW w:w="721" w:type="dxa"/>
            <w:noWrap/>
            <w:vAlign w:val="center"/>
            <w:hideMark/>
          </w:tcPr>
          <w:p w14:paraId="390B9A67" w14:textId="77777777" w:rsidR="005C64B5" w:rsidRPr="00F6434E" w:rsidRDefault="005C64B5">
            <w:pPr>
              <w:jc w:val="center"/>
              <w:rPr>
                <w:rFonts w:eastAsia="Times New Roman"/>
                <w:sz w:val="20"/>
                <w:szCs w:val="20"/>
              </w:rPr>
            </w:pPr>
            <w:r w:rsidRPr="00F6434E">
              <w:rPr>
                <w:rFonts w:eastAsia="Times New Roman"/>
                <w:sz w:val="20"/>
                <w:szCs w:val="20"/>
              </w:rPr>
              <w:t>13</w:t>
            </w:r>
          </w:p>
        </w:tc>
        <w:tc>
          <w:tcPr>
            <w:tcW w:w="1578" w:type="dxa"/>
            <w:vAlign w:val="center"/>
          </w:tcPr>
          <w:p w14:paraId="0D2F3198" w14:textId="77777777" w:rsidR="005C64B5" w:rsidRPr="005C402E" w:rsidRDefault="00E50195" w:rsidP="00F6434E">
            <w:pPr>
              <w:jc w:val="right"/>
              <w:rPr>
                <w:rFonts w:eastAsia="Times New Roman"/>
                <w:sz w:val="20"/>
                <w:szCs w:val="20"/>
              </w:rPr>
            </w:pPr>
            <w:r>
              <w:rPr>
                <w:rFonts w:eastAsia="Times New Roman"/>
                <w:sz w:val="20"/>
                <w:szCs w:val="20"/>
              </w:rPr>
              <w:t>205.316.173</w:t>
            </w:r>
          </w:p>
        </w:tc>
        <w:tc>
          <w:tcPr>
            <w:tcW w:w="1559" w:type="dxa"/>
            <w:noWrap/>
            <w:vAlign w:val="center"/>
          </w:tcPr>
          <w:p w14:paraId="668E5554" w14:textId="77777777" w:rsidR="005C64B5" w:rsidRPr="00F6434E" w:rsidRDefault="005C64B5" w:rsidP="00F6434E">
            <w:pPr>
              <w:jc w:val="right"/>
              <w:rPr>
                <w:rFonts w:eastAsia="Times New Roman"/>
                <w:sz w:val="20"/>
                <w:szCs w:val="20"/>
              </w:rPr>
            </w:pPr>
            <w:r w:rsidRPr="005C402E">
              <w:rPr>
                <w:rFonts w:eastAsia="Times New Roman"/>
                <w:sz w:val="20"/>
                <w:szCs w:val="20"/>
              </w:rPr>
              <w:t>37.293.802</w:t>
            </w:r>
          </w:p>
        </w:tc>
        <w:tc>
          <w:tcPr>
            <w:tcW w:w="1559" w:type="dxa"/>
            <w:noWrap/>
            <w:vAlign w:val="center"/>
          </w:tcPr>
          <w:p w14:paraId="7D6C71CC" w14:textId="77777777" w:rsidR="005C64B5" w:rsidRPr="00F6434E" w:rsidRDefault="00E50195" w:rsidP="00F6434E">
            <w:pPr>
              <w:jc w:val="right"/>
              <w:rPr>
                <w:rFonts w:eastAsia="Times New Roman"/>
                <w:sz w:val="20"/>
                <w:szCs w:val="20"/>
              </w:rPr>
            </w:pPr>
            <w:r>
              <w:rPr>
                <w:rFonts w:eastAsia="Times New Roman"/>
                <w:sz w:val="20"/>
                <w:szCs w:val="20"/>
              </w:rPr>
              <w:t>29.785.490</w:t>
            </w:r>
          </w:p>
        </w:tc>
        <w:tc>
          <w:tcPr>
            <w:tcW w:w="1580" w:type="dxa"/>
            <w:noWrap/>
            <w:vAlign w:val="center"/>
          </w:tcPr>
          <w:p w14:paraId="445689BB" w14:textId="77777777" w:rsidR="005C64B5" w:rsidRPr="00F6434E" w:rsidRDefault="00E50195" w:rsidP="00F6434E">
            <w:pPr>
              <w:jc w:val="right"/>
              <w:rPr>
                <w:rFonts w:eastAsia="Times New Roman"/>
                <w:sz w:val="20"/>
                <w:szCs w:val="20"/>
              </w:rPr>
            </w:pPr>
            <w:r>
              <w:rPr>
                <w:rFonts w:eastAsia="Times New Roman"/>
                <w:sz w:val="20"/>
                <w:szCs w:val="20"/>
              </w:rPr>
              <w:t>173.695.248</w:t>
            </w:r>
          </w:p>
        </w:tc>
      </w:tr>
      <w:tr w:rsidR="005C64B5" w:rsidRPr="005C402E" w14:paraId="744D9CE2" w14:textId="77777777" w:rsidTr="00031DB9">
        <w:trPr>
          <w:trHeight w:val="280"/>
        </w:trPr>
        <w:tc>
          <w:tcPr>
            <w:tcW w:w="2845" w:type="dxa"/>
            <w:noWrap/>
            <w:vAlign w:val="center"/>
            <w:hideMark/>
          </w:tcPr>
          <w:p w14:paraId="4EF1720C" w14:textId="77777777" w:rsidR="005C64B5" w:rsidRPr="00F6434E" w:rsidRDefault="005C64B5">
            <w:pPr>
              <w:rPr>
                <w:rFonts w:eastAsia="Times New Roman"/>
                <w:sz w:val="20"/>
                <w:szCs w:val="20"/>
              </w:rPr>
            </w:pPr>
            <w:r w:rsidRPr="00F6434E">
              <w:rPr>
                <w:sz w:val="20"/>
                <w:szCs w:val="20"/>
              </w:rPr>
              <w:t>VTMIS</w:t>
            </w:r>
            <w:r w:rsidR="002F4F43" w:rsidRPr="00F6434E">
              <w:rPr>
                <w:sz w:val="20"/>
                <w:szCs w:val="20"/>
              </w:rPr>
              <w:t>/</w:t>
            </w:r>
            <w:r w:rsidRPr="00F6434E">
              <w:rPr>
                <w:sz w:val="20"/>
                <w:szCs w:val="20"/>
              </w:rPr>
              <w:t>PORTUALE</w:t>
            </w:r>
            <w:r w:rsidR="002F4F43" w:rsidRPr="00F6434E">
              <w:rPr>
                <w:sz w:val="20"/>
                <w:szCs w:val="20"/>
              </w:rPr>
              <w:t>/</w:t>
            </w:r>
            <w:proofErr w:type="spellStart"/>
            <w:r w:rsidR="002F4F43" w:rsidRPr="00F6434E">
              <w:rPr>
                <w:sz w:val="20"/>
                <w:szCs w:val="20"/>
              </w:rPr>
              <w:t>Ad</w:t>
            </w:r>
            <w:r w:rsidR="00B76C6E">
              <w:rPr>
                <w:sz w:val="20"/>
                <w:szCs w:val="20"/>
              </w:rPr>
              <w:t>M</w:t>
            </w:r>
            <w:proofErr w:type="spellEnd"/>
          </w:p>
        </w:tc>
        <w:tc>
          <w:tcPr>
            <w:tcW w:w="721" w:type="dxa"/>
            <w:noWrap/>
            <w:vAlign w:val="center"/>
            <w:hideMark/>
          </w:tcPr>
          <w:p w14:paraId="1FB107A9" w14:textId="77777777" w:rsidR="005C64B5" w:rsidRPr="00F6434E" w:rsidRDefault="005C64B5">
            <w:pPr>
              <w:jc w:val="center"/>
              <w:rPr>
                <w:rFonts w:eastAsia="Times New Roman"/>
                <w:sz w:val="20"/>
                <w:szCs w:val="20"/>
              </w:rPr>
            </w:pPr>
            <w:r w:rsidRPr="00F6434E">
              <w:rPr>
                <w:rFonts w:eastAsia="Times New Roman"/>
                <w:sz w:val="20"/>
                <w:szCs w:val="20"/>
              </w:rPr>
              <w:t>30</w:t>
            </w:r>
          </w:p>
        </w:tc>
        <w:tc>
          <w:tcPr>
            <w:tcW w:w="1578" w:type="dxa"/>
            <w:vAlign w:val="center"/>
          </w:tcPr>
          <w:p w14:paraId="657F94F1" w14:textId="77777777" w:rsidR="005C64B5" w:rsidRPr="005C402E" w:rsidRDefault="00E50195" w:rsidP="00F6434E">
            <w:pPr>
              <w:jc w:val="right"/>
              <w:rPr>
                <w:rFonts w:eastAsia="Times New Roman"/>
                <w:sz w:val="20"/>
                <w:szCs w:val="20"/>
              </w:rPr>
            </w:pPr>
            <w:r>
              <w:rPr>
                <w:rFonts w:eastAsia="Times New Roman"/>
                <w:sz w:val="20"/>
                <w:szCs w:val="20"/>
              </w:rPr>
              <w:t>196.113.254</w:t>
            </w:r>
          </w:p>
        </w:tc>
        <w:tc>
          <w:tcPr>
            <w:tcW w:w="1559" w:type="dxa"/>
            <w:noWrap/>
            <w:vAlign w:val="center"/>
          </w:tcPr>
          <w:p w14:paraId="6A81C461" w14:textId="77777777" w:rsidR="005C64B5" w:rsidRPr="00F6434E" w:rsidRDefault="005C64B5" w:rsidP="00F6434E">
            <w:pPr>
              <w:jc w:val="right"/>
              <w:rPr>
                <w:rFonts w:eastAsia="Times New Roman"/>
                <w:sz w:val="20"/>
                <w:szCs w:val="20"/>
              </w:rPr>
            </w:pPr>
            <w:r w:rsidRPr="005C402E">
              <w:rPr>
                <w:rFonts w:eastAsia="Times New Roman"/>
                <w:sz w:val="20"/>
                <w:szCs w:val="20"/>
              </w:rPr>
              <w:t>45.944.831</w:t>
            </w:r>
          </w:p>
        </w:tc>
        <w:tc>
          <w:tcPr>
            <w:tcW w:w="1559" w:type="dxa"/>
            <w:noWrap/>
            <w:vAlign w:val="center"/>
          </w:tcPr>
          <w:p w14:paraId="0F57AD7C" w14:textId="77777777" w:rsidR="005C64B5" w:rsidRPr="00F6434E" w:rsidRDefault="00E50195" w:rsidP="00F6434E">
            <w:pPr>
              <w:jc w:val="right"/>
              <w:rPr>
                <w:rFonts w:eastAsia="Times New Roman"/>
                <w:sz w:val="20"/>
                <w:szCs w:val="20"/>
              </w:rPr>
            </w:pPr>
            <w:r>
              <w:rPr>
                <w:rFonts w:eastAsia="Times New Roman"/>
                <w:sz w:val="20"/>
                <w:szCs w:val="20"/>
              </w:rPr>
              <w:t>37.740.932</w:t>
            </w:r>
          </w:p>
        </w:tc>
        <w:tc>
          <w:tcPr>
            <w:tcW w:w="1580" w:type="dxa"/>
            <w:noWrap/>
            <w:vAlign w:val="center"/>
          </w:tcPr>
          <w:p w14:paraId="31A72545" w14:textId="77777777" w:rsidR="005C64B5" w:rsidRPr="00F6434E" w:rsidRDefault="00E50195" w:rsidP="00F6434E">
            <w:pPr>
              <w:jc w:val="right"/>
              <w:rPr>
                <w:rFonts w:eastAsia="Times New Roman"/>
                <w:sz w:val="20"/>
                <w:szCs w:val="20"/>
              </w:rPr>
            </w:pPr>
            <w:r>
              <w:rPr>
                <w:rFonts w:eastAsia="Times New Roman"/>
                <w:sz w:val="20"/>
                <w:szCs w:val="20"/>
              </w:rPr>
              <w:t>166.724.901</w:t>
            </w:r>
          </w:p>
        </w:tc>
      </w:tr>
      <w:tr w:rsidR="005C64B5" w:rsidRPr="005C402E" w14:paraId="1F2F6EA5" w14:textId="77777777" w:rsidTr="00031DB9">
        <w:trPr>
          <w:trHeight w:val="280"/>
        </w:trPr>
        <w:tc>
          <w:tcPr>
            <w:tcW w:w="2845" w:type="dxa"/>
            <w:noWrap/>
            <w:vAlign w:val="center"/>
            <w:hideMark/>
          </w:tcPr>
          <w:p w14:paraId="60887B9E" w14:textId="77777777" w:rsidR="005C64B5" w:rsidRPr="00F6434E" w:rsidRDefault="002F4F43" w:rsidP="00706961">
            <w:pPr>
              <w:rPr>
                <w:rFonts w:eastAsia="Times New Roman"/>
                <w:sz w:val="20"/>
                <w:szCs w:val="20"/>
              </w:rPr>
            </w:pPr>
            <w:r w:rsidRPr="00F6434E">
              <w:rPr>
                <w:sz w:val="20"/>
                <w:szCs w:val="20"/>
              </w:rPr>
              <w:t>R</w:t>
            </w:r>
            <w:r w:rsidR="00B76C6E">
              <w:rPr>
                <w:sz w:val="20"/>
                <w:szCs w:val="20"/>
              </w:rPr>
              <w:t>IS</w:t>
            </w:r>
            <w:r w:rsidRPr="00F6434E">
              <w:rPr>
                <w:sz w:val="20"/>
                <w:szCs w:val="20"/>
              </w:rPr>
              <w:t>/</w:t>
            </w:r>
            <w:proofErr w:type="gramStart"/>
            <w:r w:rsidRPr="00F6434E">
              <w:rPr>
                <w:sz w:val="20"/>
                <w:szCs w:val="20"/>
              </w:rPr>
              <w:t>Navigaz</w:t>
            </w:r>
            <w:r w:rsidR="00B76C6E">
              <w:rPr>
                <w:sz w:val="20"/>
                <w:szCs w:val="20"/>
              </w:rPr>
              <w:t xml:space="preserve">ione </w:t>
            </w:r>
            <w:r w:rsidRPr="00F6434E">
              <w:rPr>
                <w:sz w:val="20"/>
                <w:szCs w:val="20"/>
              </w:rPr>
              <w:t xml:space="preserve"> Interna</w:t>
            </w:r>
            <w:proofErr w:type="gramEnd"/>
          </w:p>
        </w:tc>
        <w:tc>
          <w:tcPr>
            <w:tcW w:w="721" w:type="dxa"/>
            <w:noWrap/>
            <w:vAlign w:val="center"/>
            <w:hideMark/>
          </w:tcPr>
          <w:p w14:paraId="6EFB3D6E" w14:textId="77777777" w:rsidR="005C64B5" w:rsidRPr="00F6434E" w:rsidRDefault="005C64B5">
            <w:pPr>
              <w:jc w:val="center"/>
              <w:rPr>
                <w:rFonts w:eastAsia="Times New Roman"/>
                <w:sz w:val="20"/>
                <w:szCs w:val="20"/>
              </w:rPr>
            </w:pPr>
            <w:r w:rsidRPr="00F6434E">
              <w:rPr>
                <w:rFonts w:eastAsia="Times New Roman"/>
                <w:sz w:val="20"/>
                <w:szCs w:val="20"/>
              </w:rPr>
              <w:t>7</w:t>
            </w:r>
          </w:p>
        </w:tc>
        <w:tc>
          <w:tcPr>
            <w:tcW w:w="1578" w:type="dxa"/>
            <w:vAlign w:val="center"/>
          </w:tcPr>
          <w:p w14:paraId="3770876B" w14:textId="77777777" w:rsidR="005C64B5" w:rsidRPr="005C402E" w:rsidRDefault="00E50195" w:rsidP="00F6434E">
            <w:pPr>
              <w:jc w:val="right"/>
              <w:rPr>
                <w:rFonts w:eastAsia="Times New Roman"/>
                <w:sz w:val="20"/>
                <w:szCs w:val="20"/>
              </w:rPr>
            </w:pPr>
            <w:r>
              <w:rPr>
                <w:rFonts w:eastAsia="Times New Roman"/>
                <w:sz w:val="20"/>
                <w:szCs w:val="20"/>
              </w:rPr>
              <w:t>119.025.000</w:t>
            </w:r>
          </w:p>
        </w:tc>
        <w:tc>
          <w:tcPr>
            <w:tcW w:w="1559" w:type="dxa"/>
            <w:noWrap/>
            <w:vAlign w:val="center"/>
          </w:tcPr>
          <w:p w14:paraId="7307E16B" w14:textId="77777777" w:rsidR="005C64B5" w:rsidRPr="00F6434E" w:rsidRDefault="005C64B5" w:rsidP="00F6434E">
            <w:pPr>
              <w:jc w:val="right"/>
              <w:rPr>
                <w:rFonts w:eastAsia="Times New Roman"/>
                <w:sz w:val="20"/>
                <w:szCs w:val="20"/>
              </w:rPr>
            </w:pPr>
            <w:r w:rsidRPr="005C402E">
              <w:rPr>
                <w:rFonts w:eastAsia="Times New Roman"/>
                <w:sz w:val="20"/>
                <w:szCs w:val="20"/>
              </w:rPr>
              <w:t>17.896.500</w:t>
            </w:r>
          </w:p>
        </w:tc>
        <w:tc>
          <w:tcPr>
            <w:tcW w:w="1559" w:type="dxa"/>
            <w:noWrap/>
            <w:vAlign w:val="center"/>
          </w:tcPr>
          <w:p w14:paraId="105FC600" w14:textId="77777777" w:rsidR="005C64B5" w:rsidRPr="00F6434E" w:rsidRDefault="00E50195" w:rsidP="00F6434E">
            <w:pPr>
              <w:jc w:val="right"/>
              <w:rPr>
                <w:rFonts w:eastAsia="Times New Roman"/>
                <w:sz w:val="20"/>
                <w:szCs w:val="20"/>
              </w:rPr>
            </w:pPr>
            <w:r>
              <w:rPr>
                <w:rFonts w:eastAsia="Times New Roman"/>
                <w:sz w:val="20"/>
                <w:szCs w:val="20"/>
              </w:rPr>
              <w:t>13.602.951</w:t>
            </w:r>
          </w:p>
        </w:tc>
        <w:tc>
          <w:tcPr>
            <w:tcW w:w="1580" w:type="dxa"/>
            <w:noWrap/>
            <w:vAlign w:val="center"/>
          </w:tcPr>
          <w:p w14:paraId="453BB8DA" w14:textId="77777777" w:rsidR="005C64B5" w:rsidRPr="00F6434E" w:rsidRDefault="00E50195" w:rsidP="00F6434E">
            <w:pPr>
              <w:jc w:val="right"/>
              <w:rPr>
                <w:rFonts w:eastAsia="Times New Roman"/>
                <w:sz w:val="20"/>
                <w:szCs w:val="20"/>
              </w:rPr>
            </w:pPr>
            <w:r>
              <w:rPr>
                <w:rFonts w:eastAsia="Times New Roman"/>
                <w:sz w:val="20"/>
                <w:szCs w:val="20"/>
              </w:rPr>
              <w:t>100.982.415</w:t>
            </w:r>
          </w:p>
        </w:tc>
      </w:tr>
      <w:tr w:rsidR="005C64B5" w:rsidRPr="005C402E" w14:paraId="636C5312" w14:textId="77777777" w:rsidTr="00031DB9">
        <w:trPr>
          <w:trHeight w:val="280"/>
        </w:trPr>
        <w:tc>
          <w:tcPr>
            <w:tcW w:w="2845" w:type="dxa"/>
            <w:noWrap/>
            <w:vAlign w:val="center"/>
            <w:hideMark/>
          </w:tcPr>
          <w:p w14:paraId="79B4758C" w14:textId="77777777" w:rsidR="005C64B5" w:rsidRPr="00F6434E" w:rsidRDefault="00B76C6E">
            <w:pPr>
              <w:rPr>
                <w:rFonts w:eastAsia="Times New Roman"/>
                <w:sz w:val="20"/>
                <w:szCs w:val="20"/>
              </w:rPr>
            </w:pPr>
            <w:r>
              <w:rPr>
                <w:rFonts w:eastAsia="Times New Roman"/>
                <w:sz w:val="20"/>
                <w:szCs w:val="20"/>
              </w:rPr>
              <w:t>ATM</w:t>
            </w:r>
            <w:r w:rsidR="002F4F43" w:rsidRPr="00F6434E">
              <w:rPr>
                <w:rFonts w:eastAsia="Times New Roman"/>
                <w:sz w:val="20"/>
                <w:szCs w:val="20"/>
              </w:rPr>
              <w:t>/Navigazione Aerea</w:t>
            </w:r>
          </w:p>
        </w:tc>
        <w:tc>
          <w:tcPr>
            <w:tcW w:w="721" w:type="dxa"/>
            <w:noWrap/>
            <w:vAlign w:val="center"/>
            <w:hideMark/>
          </w:tcPr>
          <w:p w14:paraId="1B0E7240" w14:textId="77777777" w:rsidR="005C64B5" w:rsidRPr="00F6434E" w:rsidRDefault="005C64B5">
            <w:pPr>
              <w:jc w:val="center"/>
              <w:rPr>
                <w:rFonts w:eastAsia="Times New Roman"/>
                <w:sz w:val="20"/>
                <w:szCs w:val="20"/>
              </w:rPr>
            </w:pPr>
            <w:r w:rsidRPr="00F6434E">
              <w:rPr>
                <w:rFonts w:eastAsia="Times New Roman"/>
                <w:sz w:val="20"/>
                <w:szCs w:val="20"/>
              </w:rPr>
              <w:t>16</w:t>
            </w:r>
          </w:p>
        </w:tc>
        <w:tc>
          <w:tcPr>
            <w:tcW w:w="1578" w:type="dxa"/>
            <w:vAlign w:val="center"/>
          </w:tcPr>
          <w:p w14:paraId="1441B46E" w14:textId="77777777" w:rsidR="005C64B5" w:rsidRPr="005C402E" w:rsidRDefault="00E50195" w:rsidP="00F6434E">
            <w:pPr>
              <w:jc w:val="right"/>
              <w:rPr>
                <w:rFonts w:eastAsia="Times New Roman"/>
                <w:sz w:val="20"/>
                <w:szCs w:val="20"/>
              </w:rPr>
            </w:pPr>
            <w:r>
              <w:rPr>
                <w:rFonts w:eastAsia="Times New Roman"/>
                <w:sz w:val="20"/>
                <w:szCs w:val="20"/>
              </w:rPr>
              <w:t>235.583.318</w:t>
            </w:r>
          </w:p>
        </w:tc>
        <w:tc>
          <w:tcPr>
            <w:tcW w:w="1559" w:type="dxa"/>
            <w:noWrap/>
            <w:vAlign w:val="center"/>
          </w:tcPr>
          <w:p w14:paraId="37B395C3" w14:textId="77777777" w:rsidR="005C64B5" w:rsidRPr="00F6434E" w:rsidRDefault="005C64B5" w:rsidP="00F6434E">
            <w:pPr>
              <w:jc w:val="right"/>
              <w:rPr>
                <w:rFonts w:eastAsia="Times New Roman"/>
                <w:sz w:val="20"/>
                <w:szCs w:val="20"/>
              </w:rPr>
            </w:pPr>
            <w:r w:rsidRPr="005C402E">
              <w:rPr>
                <w:rFonts w:eastAsia="Times New Roman"/>
                <w:sz w:val="20"/>
                <w:szCs w:val="20"/>
              </w:rPr>
              <w:t>52.990.369</w:t>
            </w:r>
          </w:p>
        </w:tc>
        <w:tc>
          <w:tcPr>
            <w:tcW w:w="1559" w:type="dxa"/>
            <w:noWrap/>
            <w:vAlign w:val="center"/>
          </w:tcPr>
          <w:p w14:paraId="7F851D59" w14:textId="77777777" w:rsidR="005C64B5" w:rsidRPr="00F6434E" w:rsidRDefault="00E50195" w:rsidP="00F6434E">
            <w:pPr>
              <w:jc w:val="right"/>
              <w:rPr>
                <w:rFonts w:eastAsia="Times New Roman"/>
                <w:sz w:val="20"/>
                <w:szCs w:val="20"/>
              </w:rPr>
            </w:pPr>
            <w:r>
              <w:rPr>
                <w:rFonts w:eastAsia="Times New Roman"/>
                <w:sz w:val="20"/>
                <w:szCs w:val="20"/>
              </w:rPr>
              <w:t>28.288.921</w:t>
            </w:r>
          </w:p>
        </w:tc>
        <w:tc>
          <w:tcPr>
            <w:tcW w:w="1580" w:type="dxa"/>
            <w:noWrap/>
            <w:vAlign w:val="center"/>
          </w:tcPr>
          <w:p w14:paraId="30C3D26C" w14:textId="77777777" w:rsidR="005C64B5" w:rsidRPr="00F6434E" w:rsidRDefault="00E50195" w:rsidP="00F6434E">
            <w:pPr>
              <w:jc w:val="right"/>
              <w:rPr>
                <w:rFonts w:eastAsia="Times New Roman"/>
                <w:sz w:val="20"/>
                <w:szCs w:val="20"/>
              </w:rPr>
            </w:pPr>
            <w:r>
              <w:rPr>
                <w:rFonts w:eastAsia="Times New Roman"/>
                <w:sz w:val="20"/>
                <w:szCs w:val="20"/>
              </w:rPr>
              <w:t>127.413.908</w:t>
            </w:r>
          </w:p>
        </w:tc>
      </w:tr>
      <w:tr w:rsidR="005C64B5" w:rsidRPr="005C402E" w14:paraId="03F5DAF8" w14:textId="77777777" w:rsidTr="00031DB9">
        <w:trPr>
          <w:trHeight w:val="280"/>
        </w:trPr>
        <w:tc>
          <w:tcPr>
            <w:tcW w:w="2845" w:type="dxa"/>
            <w:tcBorders>
              <w:top w:val="nil"/>
              <w:left w:val="nil"/>
              <w:bottom w:val="single" w:sz="4" w:space="0" w:color="auto"/>
              <w:right w:val="nil"/>
            </w:tcBorders>
            <w:noWrap/>
            <w:vAlign w:val="center"/>
            <w:hideMark/>
          </w:tcPr>
          <w:p w14:paraId="4DBBD193" w14:textId="77777777" w:rsidR="005C64B5" w:rsidRPr="00F6434E" w:rsidRDefault="002F4F43">
            <w:pPr>
              <w:rPr>
                <w:rFonts w:eastAsia="Times New Roman"/>
                <w:sz w:val="20"/>
                <w:szCs w:val="20"/>
              </w:rPr>
            </w:pPr>
            <w:r w:rsidRPr="00F6434E">
              <w:rPr>
                <w:sz w:val="20"/>
                <w:szCs w:val="20"/>
              </w:rPr>
              <w:t>Multimodale</w:t>
            </w:r>
          </w:p>
        </w:tc>
        <w:tc>
          <w:tcPr>
            <w:tcW w:w="721" w:type="dxa"/>
            <w:tcBorders>
              <w:top w:val="nil"/>
              <w:left w:val="nil"/>
              <w:bottom w:val="single" w:sz="4" w:space="0" w:color="auto"/>
              <w:right w:val="nil"/>
            </w:tcBorders>
            <w:noWrap/>
            <w:vAlign w:val="center"/>
            <w:hideMark/>
          </w:tcPr>
          <w:p w14:paraId="3963CDCB" w14:textId="77777777" w:rsidR="005C64B5" w:rsidRPr="00F6434E" w:rsidRDefault="005C64B5">
            <w:pPr>
              <w:jc w:val="center"/>
              <w:rPr>
                <w:rFonts w:eastAsia="Times New Roman"/>
                <w:sz w:val="20"/>
                <w:szCs w:val="20"/>
              </w:rPr>
            </w:pPr>
            <w:r w:rsidRPr="00F6434E">
              <w:rPr>
                <w:rFonts w:eastAsia="Times New Roman"/>
                <w:sz w:val="20"/>
                <w:szCs w:val="20"/>
              </w:rPr>
              <w:t>3</w:t>
            </w:r>
          </w:p>
        </w:tc>
        <w:tc>
          <w:tcPr>
            <w:tcW w:w="1578" w:type="dxa"/>
            <w:tcBorders>
              <w:top w:val="nil"/>
              <w:left w:val="nil"/>
              <w:bottom w:val="single" w:sz="4" w:space="0" w:color="auto"/>
              <w:right w:val="nil"/>
            </w:tcBorders>
            <w:vAlign w:val="center"/>
          </w:tcPr>
          <w:p w14:paraId="44DAB2F9" w14:textId="77777777" w:rsidR="005C64B5" w:rsidRPr="005C402E" w:rsidRDefault="00E50195" w:rsidP="00F6434E">
            <w:pPr>
              <w:jc w:val="right"/>
              <w:rPr>
                <w:rFonts w:eastAsia="Times New Roman"/>
                <w:sz w:val="20"/>
                <w:szCs w:val="20"/>
              </w:rPr>
            </w:pPr>
            <w:r>
              <w:rPr>
                <w:rFonts w:eastAsia="Times New Roman"/>
                <w:sz w:val="20"/>
                <w:szCs w:val="20"/>
              </w:rPr>
              <w:t>11.915.000</w:t>
            </w:r>
          </w:p>
        </w:tc>
        <w:tc>
          <w:tcPr>
            <w:tcW w:w="1559" w:type="dxa"/>
            <w:tcBorders>
              <w:top w:val="nil"/>
              <w:left w:val="nil"/>
              <w:bottom w:val="single" w:sz="4" w:space="0" w:color="auto"/>
              <w:right w:val="nil"/>
            </w:tcBorders>
            <w:noWrap/>
            <w:vAlign w:val="center"/>
          </w:tcPr>
          <w:p w14:paraId="1510C636" w14:textId="77777777" w:rsidR="005C64B5" w:rsidRPr="00F6434E" w:rsidRDefault="005C64B5" w:rsidP="00F6434E">
            <w:pPr>
              <w:jc w:val="right"/>
              <w:rPr>
                <w:rFonts w:eastAsia="Times New Roman"/>
                <w:sz w:val="20"/>
                <w:szCs w:val="20"/>
              </w:rPr>
            </w:pPr>
            <w:r w:rsidRPr="005C402E">
              <w:rPr>
                <w:rFonts w:eastAsia="Times New Roman"/>
                <w:sz w:val="20"/>
                <w:szCs w:val="20"/>
              </w:rPr>
              <w:t>2.957.500</w:t>
            </w:r>
          </w:p>
        </w:tc>
        <w:tc>
          <w:tcPr>
            <w:tcW w:w="1559" w:type="dxa"/>
            <w:tcBorders>
              <w:top w:val="nil"/>
              <w:left w:val="nil"/>
              <w:bottom w:val="single" w:sz="4" w:space="0" w:color="auto"/>
              <w:right w:val="nil"/>
            </w:tcBorders>
            <w:noWrap/>
            <w:vAlign w:val="center"/>
          </w:tcPr>
          <w:p w14:paraId="3F90D198" w14:textId="77777777" w:rsidR="005C64B5" w:rsidRPr="00F6434E" w:rsidRDefault="00E50195" w:rsidP="00F6434E">
            <w:pPr>
              <w:jc w:val="right"/>
              <w:rPr>
                <w:rFonts w:eastAsia="Times New Roman"/>
                <w:sz w:val="20"/>
                <w:szCs w:val="20"/>
              </w:rPr>
            </w:pPr>
            <w:r>
              <w:rPr>
                <w:rFonts w:eastAsia="Times New Roman"/>
                <w:sz w:val="20"/>
                <w:szCs w:val="20"/>
              </w:rPr>
              <w:t>713.982</w:t>
            </w:r>
          </w:p>
        </w:tc>
        <w:tc>
          <w:tcPr>
            <w:tcW w:w="1580" w:type="dxa"/>
            <w:tcBorders>
              <w:top w:val="nil"/>
              <w:left w:val="nil"/>
              <w:bottom w:val="single" w:sz="4" w:space="0" w:color="auto"/>
              <w:right w:val="nil"/>
            </w:tcBorders>
            <w:noWrap/>
            <w:vAlign w:val="center"/>
          </w:tcPr>
          <w:p w14:paraId="31C5951A" w14:textId="77777777" w:rsidR="005C64B5" w:rsidRPr="00F6434E" w:rsidRDefault="00E50195" w:rsidP="00F6434E">
            <w:pPr>
              <w:jc w:val="right"/>
              <w:rPr>
                <w:rFonts w:eastAsia="Times New Roman"/>
                <w:sz w:val="20"/>
                <w:szCs w:val="20"/>
              </w:rPr>
            </w:pPr>
            <w:r>
              <w:rPr>
                <w:rFonts w:eastAsia="Times New Roman"/>
                <w:sz w:val="20"/>
                <w:szCs w:val="20"/>
              </w:rPr>
              <w:t>1.569.400</w:t>
            </w:r>
          </w:p>
        </w:tc>
      </w:tr>
      <w:tr w:rsidR="005C64B5" w:rsidRPr="005C402E" w14:paraId="117C04CD" w14:textId="77777777" w:rsidTr="00031DB9">
        <w:trPr>
          <w:trHeight w:val="280"/>
        </w:trPr>
        <w:tc>
          <w:tcPr>
            <w:tcW w:w="2845" w:type="dxa"/>
            <w:tcBorders>
              <w:top w:val="single" w:sz="4" w:space="0" w:color="auto"/>
              <w:bottom w:val="single" w:sz="4" w:space="0" w:color="auto"/>
            </w:tcBorders>
            <w:noWrap/>
            <w:vAlign w:val="center"/>
            <w:hideMark/>
          </w:tcPr>
          <w:p w14:paraId="09DE0B61" w14:textId="77777777" w:rsidR="005C64B5" w:rsidRPr="00F6434E" w:rsidRDefault="005C64B5" w:rsidP="003F4CB7">
            <w:pPr>
              <w:rPr>
                <w:rFonts w:eastAsia="Times New Roman"/>
                <w:b/>
                <w:bCs/>
                <w:sz w:val="20"/>
                <w:szCs w:val="20"/>
              </w:rPr>
            </w:pPr>
            <w:r w:rsidRPr="00F6434E">
              <w:rPr>
                <w:rFonts w:eastAsia="Times New Roman"/>
                <w:b/>
                <w:bCs/>
                <w:sz w:val="20"/>
                <w:szCs w:val="20"/>
              </w:rPr>
              <w:t>Totale</w:t>
            </w:r>
          </w:p>
        </w:tc>
        <w:tc>
          <w:tcPr>
            <w:tcW w:w="721" w:type="dxa"/>
            <w:tcBorders>
              <w:top w:val="single" w:sz="4" w:space="0" w:color="auto"/>
              <w:bottom w:val="single" w:sz="4" w:space="0" w:color="auto"/>
            </w:tcBorders>
            <w:noWrap/>
            <w:vAlign w:val="center"/>
            <w:hideMark/>
          </w:tcPr>
          <w:p w14:paraId="26672CF4" w14:textId="77777777" w:rsidR="005C64B5" w:rsidRPr="00F6434E" w:rsidRDefault="005C64B5">
            <w:pPr>
              <w:jc w:val="center"/>
              <w:rPr>
                <w:rFonts w:eastAsia="Times New Roman"/>
                <w:b/>
                <w:bCs/>
                <w:sz w:val="20"/>
                <w:szCs w:val="20"/>
              </w:rPr>
            </w:pPr>
            <w:r w:rsidRPr="00F6434E">
              <w:rPr>
                <w:rFonts w:eastAsia="Times New Roman"/>
                <w:b/>
                <w:bCs/>
                <w:sz w:val="20"/>
                <w:szCs w:val="20"/>
              </w:rPr>
              <w:t>116</w:t>
            </w:r>
          </w:p>
        </w:tc>
        <w:tc>
          <w:tcPr>
            <w:tcW w:w="1578" w:type="dxa"/>
            <w:tcBorders>
              <w:top w:val="single" w:sz="4" w:space="0" w:color="auto"/>
              <w:bottom w:val="single" w:sz="4" w:space="0" w:color="auto"/>
            </w:tcBorders>
            <w:vAlign w:val="center"/>
          </w:tcPr>
          <w:p w14:paraId="5F3466A1" w14:textId="77777777" w:rsidR="005C64B5" w:rsidRPr="005C402E" w:rsidRDefault="00E50195" w:rsidP="00F6434E">
            <w:pPr>
              <w:jc w:val="right"/>
              <w:rPr>
                <w:rFonts w:eastAsia="Times New Roman"/>
                <w:b/>
                <w:bCs/>
                <w:sz w:val="20"/>
                <w:szCs w:val="20"/>
              </w:rPr>
            </w:pPr>
            <w:r>
              <w:rPr>
                <w:rFonts w:eastAsia="Times New Roman"/>
                <w:b/>
                <w:bCs/>
                <w:sz w:val="20"/>
                <w:szCs w:val="20"/>
              </w:rPr>
              <w:t>3.487.870.958</w:t>
            </w:r>
          </w:p>
        </w:tc>
        <w:tc>
          <w:tcPr>
            <w:tcW w:w="1559" w:type="dxa"/>
            <w:tcBorders>
              <w:top w:val="single" w:sz="4" w:space="0" w:color="auto"/>
              <w:bottom w:val="single" w:sz="4" w:space="0" w:color="auto"/>
            </w:tcBorders>
            <w:noWrap/>
            <w:vAlign w:val="center"/>
          </w:tcPr>
          <w:p w14:paraId="78520E18" w14:textId="77777777" w:rsidR="005C64B5" w:rsidRPr="00F6434E" w:rsidRDefault="005C64B5" w:rsidP="00F6434E">
            <w:pPr>
              <w:jc w:val="right"/>
              <w:rPr>
                <w:rFonts w:eastAsia="Times New Roman"/>
                <w:b/>
                <w:bCs/>
                <w:sz w:val="20"/>
                <w:szCs w:val="20"/>
              </w:rPr>
            </w:pPr>
            <w:r w:rsidRPr="005C402E">
              <w:rPr>
                <w:rFonts w:eastAsia="Times New Roman"/>
                <w:b/>
                <w:bCs/>
                <w:sz w:val="20"/>
                <w:szCs w:val="20"/>
              </w:rPr>
              <w:t>1.015.940.271</w:t>
            </w:r>
          </w:p>
        </w:tc>
        <w:tc>
          <w:tcPr>
            <w:tcW w:w="1559" w:type="dxa"/>
            <w:tcBorders>
              <w:top w:val="single" w:sz="4" w:space="0" w:color="auto"/>
              <w:bottom w:val="single" w:sz="4" w:space="0" w:color="auto"/>
            </w:tcBorders>
            <w:noWrap/>
            <w:vAlign w:val="center"/>
          </w:tcPr>
          <w:p w14:paraId="7EF3A63A" w14:textId="77777777" w:rsidR="005C64B5" w:rsidRPr="00F6434E" w:rsidRDefault="00E50195" w:rsidP="00F6434E">
            <w:pPr>
              <w:jc w:val="right"/>
              <w:rPr>
                <w:rFonts w:eastAsia="Times New Roman"/>
                <w:b/>
                <w:bCs/>
                <w:sz w:val="20"/>
                <w:szCs w:val="20"/>
              </w:rPr>
            </w:pPr>
            <w:r>
              <w:rPr>
                <w:rFonts w:eastAsia="Times New Roman"/>
                <w:b/>
                <w:bCs/>
                <w:sz w:val="20"/>
                <w:szCs w:val="20"/>
              </w:rPr>
              <w:t>637.165.393</w:t>
            </w:r>
          </w:p>
        </w:tc>
        <w:tc>
          <w:tcPr>
            <w:tcW w:w="1580" w:type="dxa"/>
            <w:tcBorders>
              <w:top w:val="single" w:sz="4" w:space="0" w:color="auto"/>
              <w:bottom w:val="single" w:sz="4" w:space="0" w:color="auto"/>
            </w:tcBorders>
            <w:noWrap/>
            <w:vAlign w:val="center"/>
            <w:hideMark/>
          </w:tcPr>
          <w:p w14:paraId="643CF47B" w14:textId="77777777" w:rsidR="005C64B5" w:rsidRPr="00F6434E" w:rsidRDefault="00E50195" w:rsidP="00583E96">
            <w:pPr>
              <w:jc w:val="right"/>
              <w:rPr>
                <w:rFonts w:ascii="Calibri" w:hAnsi="Calibri"/>
                <w:sz w:val="20"/>
                <w:szCs w:val="20"/>
              </w:rPr>
            </w:pPr>
            <w:r w:rsidRPr="00583E96">
              <w:rPr>
                <w:rFonts w:eastAsia="Times New Roman"/>
                <w:b/>
                <w:bCs/>
                <w:sz w:val="20"/>
                <w:szCs w:val="20"/>
              </w:rPr>
              <w:t>2.169.363.500</w:t>
            </w:r>
          </w:p>
        </w:tc>
      </w:tr>
    </w:tbl>
    <w:p w14:paraId="5DD0F873" w14:textId="77777777" w:rsidR="00BE04A6" w:rsidRPr="007B65D7" w:rsidRDefault="00987770" w:rsidP="001670A2">
      <w:pPr>
        <w:jc w:val="both"/>
        <w:rPr>
          <w:sz w:val="18"/>
          <w:szCs w:val="18"/>
        </w:rPr>
      </w:pPr>
      <w:r w:rsidRPr="00485233">
        <w:rPr>
          <w:i/>
          <w:sz w:val="18"/>
          <w:szCs w:val="18"/>
        </w:rPr>
        <w:t>Fonte:</w:t>
      </w:r>
      <w:r w:rsidRPr="00485233">
        <w:rPr>
          <w:sz w:val="18"/>
          <w:szCs w:val="18"/>
        </w:rPr>
        <w:t xml:space="preserve"> M</w:t>
      </w:r>
      <w:r w:rsidR="00485233">
        <w:rPr>
          <w:sz w:val="18"/>
          <w:szCs w:val="18"/>
        </w:rPr>
        <w:t>inistero delle Infrastrutture e dei Trasporti</w:t>
      </w:r>
      <w:r w:rsidR="00A0155B">
        <w:rPr>
          <w:sz w:val="18"/>
          <w:szCs w:val="18"/>
        </w:rPr>
        <w:t>.</w:t>
      </w:r>
    </w:p>
    <w:p w14:paraId="34D834A9" w14:textId="77777777" w:rsidR="00BE04A6" w:rsidRDefault="00BE04A6" w:rsidP="001670A2">
      <w:pPr>
        <w:jc w:val="both"/>
        <w:rPr>
          <w:b/>
          <w:bCs/>
        </w:rPr>
      </w:pPr>
    </w:p>
    <w:p w14:paraId="65690BE9" w14:textId="77777777" w:rsidR="00E30300" w:rsidRDefault="00E30300" w:rsidP="001670A2">
      <w:pPr>
        <w:jc w:val="both"/>
        <w:rPr>
          <w:b/>
          <w:bCs/>
        </w:rPr>
      </w:pPr>
    </w:p>
    <w:p w14:paraId="09FAE5A8" w14:textId="77777777" w:rsidR="001670A2" w:rsidRDefault="00A76B30" w:rsidP="001670A2">
      <w:pPr>
        <w:jc w:val="both"/>
        <w:rPr>
          <w:b/>
          <w:bCs/>
        </w:rPr>
      </w:pPr>
      <w:r w:rsidRPr="003C090A">
        <w:rPr>
          <w:b/>
          <w:bCs/>
        </w:rPr>
        <w:t>XI.4</w:t>
      </w:r>
      <w:r w:rsidR="001670A2" w:rsidRPr="003C090A">
        <w:rPr>
          <w:b/>
          <w:bCs/>
        </w:rPr>
        <w:t>.</w:t>
      </w:r>
      <w:r w:rsidR="00ED15F0" w:rsidRPr="003C090A">
        <w:rPr>
          <w:b/>
          <w:bCs/>
        </w:rPr>
        <w:t>2</w:t>
      </w:r>
      <w:r w:rsidR="001670A2" w:rsidRPr="003C090A">
        <w:rPr>
          <w:b/>
          <w:bCs/>
        </w:rPr>
        <w:t xml:space="preserve"> </w:t>
      </w:r>
      <w:r w:rsidR="00485233" w:rsidRPr="003C090A">
        <w:rPr>
          <w:b/>
          <w:bCs/>
        </w:rPr>
        <w:t>-</w:t>
      </w:r>
      <w:r w:rsidR="001670A2" w:rsidRPr="003C090A">
        <w:rPr>
          <w:b/>
          <w:bCs/>
        </w:rPr>
        <w:t xml:space="preserve"> Programmazione CEF 2014-2020/2023</w:t>
      </w:r>
    </w:p>
    <w:p w14:paraId="794902BE" w14:textId="77777777" w:rsidR="003C090A" w:rsidRDefault="003C090A" w:rsidP="001670A2">
      <w:pPr>
        <w:jc w:val="both"/>
        <w:rPr>
          <w:b/>
          <w:bCs/>
        </w:rPr>
      </w:pPr>
    </w:p>
    <w:p w14:paraId="00FB3361" w14:textId="77777777" w:rsidR="00343FB0" w:rsidRDefault="00343FB0" w:rsidP="00343FB0">
      <w:pPr>
        <w:ind w:firstLine="851"/>
        <w:jc w:val="both"/>
      </w:pPr>
      <w:r>
        <w:t xml:space="preserve">Il programma </w:t>
      </w:r>
      <w:proofErr w:type="spellStart"/>
      <w:r>
        <w:rPr>
          <w:i/>
          <w:iCs/>
        </w:rPr>
        <w:t>Connecting</w:t>
      </w:r>
      <w:proofErr w:type="spellEnd"/>
      <w:r>
        <w:rPr>
          <w:i/>
          <w:iCs/>
        </w:rPr>
        <w:t xml:space="preserve"> Europe Facility</w:t>
      </w:r>
      <w:r>
        <w:t xml:space="preserve"> (CEF) o “Meccanismo per Collegare l’Europa (MCE)” è lo strumento finanziario posto in essere dalla Commissione Europea nell’ambito del Regolamento (UE) n. 1316/2013 per garantire il sostegno a tre settori che svolgono un ruolo particolarmente significativo nell’economia, ovvero trasporto, energia e telecomunicazioni. </w:t>
      </w:r>
    </w:p>
    <w:p w14:paraId="3FEEC98F" w14:textId="77777777" w:rsidR="00343FB0" w:rsidRDefault="00343FB0" w:rsidP="00343FB0">
      <w:pPr>
        <w:ind w:firstLine="851"/>
        <w:jc w:val="both"/>
      </w:pPr>
      <w:r>
        <w:t xml:space="preserve">Per fare fronte all’impegno derivante dalla pubblicazione dei bandi per l’assegnazione dei fondi nonché per assicurare un’efficiente valutazione delle domande di finanziamento, la Commissione Europea </w:t>
      </w:r>
      <w:r>
        <w:lastRenderedPageBreak/>
        <w:t xml:space="preserve">si avvale dal 2007 dell’assistenza tecnica fornita </w:t>
      </w:r>
      <w:r w:rsidRPr="00DE1FE0">
        <w:rPr>
          <w:color w:val="auto"/>
        </w:rPr>
        <w:t>dall’</w:t>
      </w:r>
      <w:r w:rsidR="00E878AE" w:rsidRPr="00DE1FE0">
        <w:rPr>
          <w:color w:val="auto"/>
        </w:rPr>
        <w:t>A</w:t>
      </w:r>
      <w:r w:rsidRPr="00DE1FE0">
        <w:rPr>
          <w:color w:val="auto"/>
        </w:rPr>
        <w:t xml:space="preserve">genzia “INEA - </w:t>
      </w:r>
      <w:r w:rsidRPr="00DE1FE0">
        <w:rPr>
          <w:i/>
          <w:iCs/>
          <w:color w:val="auto"/>
        </w:rPr>
        <w:t>Innovative and Network</w:t>
      </w:r>
      <w:r w:rsidR="003422B5" w:rsidRPr="00DE1FE0">
        <w:rPr>
          <w:i/>
          <w:iCs/>
          <w:color w:val="auto"/>
        </w:rPr>
        <w:t>s</w:t>
      </w:r>
      <w:r w:rsidRPr="00DE1FE0">
        <w:rPr>
          <w:i/>
          <w:iCs/>
          <w:color w:val="auto"/>
        </w:rPr>
        <w:t xml:space="preserve"> Executive Agency“</w:t>
      </w:r>
      <w:r w:rsidRPr="00DE1FE0">
        <w:rPr>
          <w:color w:val="auto"/>
        </w:rPr>
        <w:t xml:space="preserve">, una struttura costituita da tecnici ed esperti amministrativi che svolge anche il compito di monitorare l’avanzamento dei progetti ed effettuare il trasferimento dei </w:t>
      </w:r>
      <w:r>
        <w:t xml:space="preserve">fondi a favore dei beneficiari. A partire dal 2014 l’Agenzia INEA si occupa inoltre della gestione dei progetti di ricerca afferenti al settore dei trasporti nel quadro del Programma </w:t>
      </w:r>
      <w:r w:rsidRPr="00450E48">
        <w:rPr>
          <w:i/>
        </w:rPr>
        <w:t>HORIZON 2020</w:t>
      </w:r>
      <w:r>
        <w:t xml:space="preserve"> nonché dell’ex Programma Marco Polo, confluito nel CEF. Il </w:t>
      </w:r>
      <w:r>
        <w:rPr>
          <w:i/>
          <w:iCs/>
        </w:rPr>
        <w:t>budget</w:t>
      </w:r>
      <w:r>
        <w:t xml:space="preserve"> complessivo dello strumento CEF ammonta a 30,4 miliardi di euro, dei quali oltre 27,4 miliardi di euro sono gestiti direttamente dall’INEA. Più nel dettaglio, il budget CEF ha destinato 24,05 miliardi di euro al settore dei trasporti (di cui 11,31 miliardi di euro saranno assegnati a progetti relativi a Stati membri ammissibili al Fondo di Coesione, a cui l’Italia non risulta eleggibile), 1,04 miliardi di euro per i servizi digitali e a banda larga e 5,35 miliardi di euro per lo sviluppo delle reti energetiche. </w:t>
      </w:r>
    </w:p>
    <w:p w14:paraId="46B74B11" w14:textId="77777777" w:rsidR="00343FB0" w:rsidRPr="004E6922" w:rsidRDefault="00343FB0" w:rsidP="00343FB0">
      <w:pPr>
        <w:ind w:firstLine="851"/>
        <w:jc w:val="both"/>
      </w:pPr>
      <w:r>
        <w:t>Il CEF T</w:t>
      </w:r>
      <w:r w:rsidR="00A0460D">
        <w:t>rasporti</w:t>
      </w:r>
      <w:r>
        <w:t xml:space="preserve"> è volto a sostenere gli investimenti nella costruzione di nuove infrast</w:t>
      </w:r>
      <w:r w:rsidR="00A0460D">
        <w:t xml:space="preserve">rutture di trasporto in Europa </w:t>
      </w:r>
      <w:r w:rsidR="00A0460D" w:rsidRPr="00E20B47">
        <w:t>e</w:t>
      </w:r>
      <w:r w:rsidRPr="00E20B47">
        <w:t xml:space="preserve"> a migliorare quelle esistenti. Il </w:t>
      </w:r>
      <w:r w:rsidRPr="00E20B47">
        <w:rPr>
          <w:i/>
          <w:iCs/>
        </w:rPr>
        <w:t>focus</w:t>
      </w:r>
      <w:r w:rsidRPr="00E20B47">
        <w:t xml:space="preserve"> dello strumento è concentrato, in particolare, sulla rimozione dei colli di bottiglia, la realizzazione dei collegamenti mancanti e dei collegamenti transfrontalieri a cui è destinato almeno l’80% delle risorse, prevalentemente sulla rete centrale, ma anche allo sviluppo della rete globale sono destinati fondi appositi. Grande attenzione viene data anche alle cosiddette priorità orizzontali, sicurezza, innovazione, digitalizzazione attraverso le applicazioni telematiche per la gestione del traffico</w:t>
      </w:r>
      <w:r w:rsidRPr="004E6922">
        <w:t xml:space="preserve">, </w:t>
      </w:r>
      <w:r>
        <w:t xml:space="preserve">interoperabilità, </w:t>
      </w:r>
      <w:r w:rsidRPr="004E6922">
        <w:t>cielo unico europeo e Autostrade del Mare. Anche soluzioni tese a migliorare l'uso delle infrastrutture, a ridurre l'impatto ambientale e a migliorare l'efficienza energetica in termini di decarb</w:t>
      </w:r>
      <w:r>
        <w:t>o</w:t>
      </w:r>
      <w:r w:rsidRPr="004E6922">
        <w:t>nizzazione sono tenute in debita considerazione.</w:t>
      </w:r>
    </w:p>
    <w:p w14:paraId="00C7A17F" w14:textId="77777777" w:rsidR="00783A39" w:rsidRDefault="00343FB0" w:rsidP="001253FC">
      <w:pPr>
        <w:ind w:firstLine="567"/>
        <w:jc w:val="both"/>
      </w:pPr>
      <w:r w:rsidRPr="00F63DA4">
        <w:t>A novembre 2019 risulta</w:t>
      </w:r>
      <w:r w:rsidR="003C090A" w:rsidRPr="00F63DA4">
        <w:t>vano</w:t>
      </w:r>
      <w:r w:rsidRPr="00F63DA4">
        <w:t xml:space="preserve"> impegnati circa 23,</w:t>
      </w:r>
      <w:r w:rsidRPr="005C23CF">
        <w:t>6</w:t>
      </w:r>
      <w:r w:rsidRPr="00F63DA4">
        <w:t xml:space="preserve"> miliardi di euro di risorse finanziarie del CEF</w:t>
      </w:r>
      <w:r w:rsidR="00F24D9F" w:rsidRPr="00F63DA4">
        <w:t xml:space="preserve"> Trasporti</w:t>
      </w:r>
      <w:r w:rsidRPr="00F63DA4">
        <w:t xml:space="preserve"> di cui </w:t>
      </w:r>
      <w:r w:rsidRPr="005C23CF">
        <w:t>22,1 miliardi di euro già allocati a progetti mediante contratti di sovvenzione o iniziative di supporto alle politiche del programma.</w:t>
      </w:r>
      <w:r w:rsidRPr="00F63DA4">
        <w:t xml:space="preserve"> Dei fondi allocati, l’impegno di spesa </w:t>
      </w:r>
      <w:r w:rsidR="003C090A" w:rsidRPr="00F63DA4">
        <w:t xml:space="preserve">era pari a </w:t>
      </w:r>
      <w:r w:rsidRPr="00F63DA4">
        <w:t xml:space="preserve">circa 13,4 miliardi di euro di cui il 7% già </w:t>
      </w:r>
      <w:r w:rsidR="003C090A" w:rsidRPr="00F63DA4">
        <w:t xml:space="preserve">erogato </w:t>
      </w:r>
      <w:r w:rsidRPr="00F63DA4">
        <w:t xml:space="preserve">dalla Commissione Europea, pari a circa 7 miliardi di euro. </w:t>
      </w:r>
      <w:r w:rsidR="00F24D9F" w:rsidRPr="00F63DA4">
        <w:t>I</w:t>
      </w:r>
      <w:r w:rsidRPr="00F63DA4">
        <w:t xml:space="preserve"> 794 progetti di trasporto</w:t>
      </w:r>
      <w:r w:rsidR="00F24D9F" w:rsidRPr="00F63DA4">
        <w:t xml:space="preserve"> </w:t>
      </w:r>
      <w:r w:rsidRPr="00F63DA4">
        <w:t>che si rivolgono a tutte le modalità di trasporto (</w:t>
      </w:r>
      <w:r w:rsidR="00E20B47">
        <w:t xml:space="preserve">con prevalenza </w:t>
      </w:r>
      <w:r w:rsidRPr="00F63DA4">
        <w:t>al settore ferroviario</w:t>
      </w:r>
      <w:r w:rsidR="00E20B47">
        <w:t xml:space="preserve"> pari al 70%</w:t>
      </w:r>
      <w:r w:rsidRPr="00F63DA4">
        <w:t xml:space="preserve">) sono co-finanziati con fondi CEF </w:t>
      </w:r>
      <w:r w:rsidR="00F24D9F" w:rsidRPr="00F63DA4">
        <w:t>per 22,1 miliardi di euro</w:t>
      </w:r>
      <w:r w:rsidR="00E20B47">
        <w:t>,</w:t>
      </w:r>
      <w:r w:rsidR="00F24D9F" w:rsidRPr="00F63DA4">
        <w:t xml:space="preserve"> corrispondenti a </w:t>
      </w:r>
      <w:r w:rsidRPr="00F63DA4">
        <w:t xml:space="preserve">investimenti totali pari </w:t>
      </w:r>
      <w:r w:rsidR="00F24D9F" w:rsidRPr="00F63DA4">
        <w:t xml:space="preserve">a </w:t>
      </w:r>
      <w:r w:rsidRPr="00F63DA4">
        <w:t>47 miliardi di euro. Nella Fig. XI.4.2.1</w:t>
      </w:r>
      <w:r w:rsidR="00F24D9F" w:rsidRPr="00F63DA4">
        <w:t xml:space="preserve"> </w:t>
      </w:r>
      <w:r w:rsidRPr="00F63DA4">
        <w:t xml:space="preserve">è illustrato schematicamente il quadro complessivo dei contributi CEF </w:t>
      </w:r>
      <w:r w:rsidR="00F24D9F" w:rsidRPr="00F63DA4">
        <w:t xml:space="preserve">a novembre 2019 </w:t>
      </w:r>
      <w:r w:rsidRPr="00F63DA4">
        <w:t>nell’ambito della programmazione 2014-2020</w:t>
      </w:r>
      <w:r w:rsidR="00F24D9F" w:rsidRPr="00F63DA4">
        <w:t xml:space="preserve"> e </w:t>
      </w:r>
      <w:r w:rsidRPr="00F63DA4">
        <w:t>lo stato dell’arte</w:t>
      </w:r>
      <w:r w:rsidR="00D917AE">
        <w:t xml:space="preserve"> </w:t>
      </w:r>
      <w:r w:rsidR="009A33F3">
        <w:t xml:space="preserve">sul </w:t>
      </w:r>
      <w:r w:rsidRPr="00F63DA4">
        <w:t>portafoglio progetti CEF</w:t>
      </w:r>
      <w:r w:rsidR="00F24D9F" w:rsidRPr="00F63DA4">
        <w:t xml:space="preserve"> </w:t>
      </w:r>
      <w:r w:rsidR="009A33F3">
        <w:t xml:space="preserve">che </w:t>
      </w:r>
      <w:r w:rsidR="00F24D9F" w:rsidRPr="00F63DA4">
        <w:t xml:space="preserve">a marzo </w:t>
      </w:r>
      <w:r w:rsidR="00D917AE">
        <w:t xml:space="preserve">2020 </w:t>
      </w:r>
      <w:r w:rsidR="00F24D9F" w:rsidRPr="00F63DA4">
        <w:t xml:space="preserve">ha raggiunto quota 803 progetti di cui 97 azioni </w:t>
      </w:r>
      <w:r w:rsidR="00E20B47">
        <w:t xml:space="preserve">già </w:t>
      </w:r>
      <w:r w:rsidR="00F24D9F" w:rsidRPr="00F63DA4">
        <w:t>portate a conclusione.</w:t>
      </w:r>
    </w:p>
    <w:p w14:paraId="058B4235" w14:textId="77777777" w:rsidR="00A65C56" w:rsidRDefault="00A65C56" w:rsidP="00450E48">
      <w:pPr>
        <w:ind w:firstLine="567"/>
        <w:jc w:val="both"/>
      </w:pPr>
    </w:p>
    <w:p w14:paraId="4A77A027" w14:textId="77777777" w:rsidR="00343FB0" w:rsidRDefault="00343FB0" w:rsidP="007B65D7">
      <w:pPr>
        <w:rPr>
          <w:b/>
          <w:bCs/>
          <w:spacing w:val="-16"/>
        </w:rPr>
      </w:pPr>
      <w:r w:rsidRPr="00FC79EB">
        <w:rPr>
          <w:b/>
          <w:bCs/>
          <w:spacing w:val="-16"/>
        </w:rPr>
        <w:t xml:space="preserve">Fig. XI.4.2.1 - Quadro dei contributi </w:t>
      </w:r>
      <w:r w:rsidR="009A33F3" w:rsidRPr="00FC79EB">
        <w:rPr>
          <w:b/>
          <w:bCs/>
          <w:spacing w:val="-16"/>
        </w:rPr>
        <w:t>e portafoglio progetti CEF nella Programmazione Trasporti 2014-2020</w:t>
      </w:r>
    </w:p>
    <w:p w14:paraId="6A47E6A5" w14:textId="77777777" w:rsidR="004B0F15" w:rsidRDefault="00387077" w:rsidP="00387077">
      <w:pPr>
        <w:rPr>
          <w:b/>
          <w:bCs/>
        </w:rPr>
      </w:pPr>
      <w:r>
        <w:rPr>
          <w:b/>
          <w:bCs/>
          <w:noProof/>
          <w:sz w:val="16"/>
          <w:szCs w:val="16"/>
        </w:rPr>
        <w:drawing>
          <wp:inline distT="0" distB="0" distL="0" distR="0" wp14:anchorId="1836EA7B" wp14:editId="0DCE3925">
            <wp:extent cx="3238314" cy="2428814"/>
            <wp:effectExtent l="0" t="0" r="63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InfoDay- Roma- IT CEF Transport portfolio_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9457" cy="2429671"/>
                    </a:xfrm>
                    <a:prstGeom prst="rect">
                      <a:avLst/>
                    </a:prstGeom>
                  </pic:spPr>
                </pic:pic>
              </a:graphicData>
            </a:graphic>
          </wp:inline>
        </w:drawing>
      </w:r>
      <w:r>
        <w:rPr>
          <w:i/>
          <w:iCs/>
          <w:sz w:val="18"/>
          <w:szCs w:val="18"/>
        </w:rPr>
        <w:t xml:space="preserve"> </w:t>
      </w:r>
      <w:r>
        <w:rPr>
          <w:b/>
          <w:bCs/>
          <w:noProof/>
          <w:sz w:val="16"/>
          <w:szCs w:val="16"/>
        </w:rPr>
        <w:drawing>
          <wp:inline distT="0" distB="0" distL="0" distR="0" wp14:anchorId="3B72F1DB" wp14:editId="43B54399">
            <wp:extent cx="3220557" cy="2415496"/>
            <wp:effectExtent l="0" t="0" r="0" b="444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InfoDay- Roma- IT CEF Transport portfoli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28298" cy="2421302"/>
                    </a:xfrm>
                    <a:prstGeom prst="rect">
                      <a:avLst/>
                    </a:prstGeom>
                  </pic:spPr>
                </pic:pic>
              </a:graphicData>
            </a:graphic>
          </wp:inline>
        </w:drawing>
      </w:r>
    </w:p>
    <w:p w14:paraId="636826CC" w14:textId="77777777" w:rsidR="00387077" w:rsidRDefault="00387077" w:rsidP="00387077">
      <w:pPr>
        <w:rPr>
          <w:i/>
          <w:iCs/>
          <w:sz w:val="20"/>
          <w:szCs w:val="20"/>
        </w:rPr>
      </w:pPr>
      <w:r w:rsidRPr="000E1C97">
        <w:rPr>
          <w:i/>
          <w:iCs/>
          <w:sz w:val="18"/>
          <w:szCs w:val="18"/>
        </w:rPr>
        <w:t>Fonte</w:t>
      </w:r>
      <w:r w:rsidRPr="000E1C97">
        <w:rPr>
          <w:sz w:val="18"/>
          <w:szCs w:val="18"/>
        </w:rPr>
        <w:t xml:space="preserve">: estratto presentazione </w:t>
      </w:r>
      <w:proofErr w:type="gramStart"/>
      <w:r>
        <w:rPr>
          <w:sz w:val="18"/>
          <w:szCs w:val="18"/>
        </w:rPr>
        <w:t>INEA</w:t>
      </w:r>
      <w:r w:rsidRPr="000E1C97">
        <w:rPr>
          <w:sz w:val="18"/>
          <w:szCs w:val="18"/>
        </w:rPr>
        <w:t xml:space="preserve">  -</w:t>
      </w:r>
      <w:proofErr w:type="gramEnd"/>
      <w:r w:rsidRPr="000E1C97">
        <w:rPr>
          <w:sz w:val="18"/>
          <w:szCs w:val="18"/>
        </w:rPr>
        <w:t xml:space="preserve"> </w:t>
      </w:r>
      <w:r>
        <w:rPr>
          <w:sz w:val="18"/>
          <w:szCs w:val="18"/>
        </w:rPr>
        <w:t>Roma, 25 Novembre</w:t>
      </w:r>
      <w:r w:rsidRPr="000E1C97">
        <w:rPr>
          <w:sz w:val="18"/>
          <w:szCs w:val="18"/>
        </w:rPr>
        <w:t xml:space="preserve"> 2019</w:t>
      </w:r>
      <w:r>
        <w:rPr>
          <w:sz w:val="18"/>
          <w:szCs w:val="18"/>
        </w:rPr>
        <w:t>.</w:t>
      </w:r>
    </w:p>
    <w:p w14:paraId="2DA55EAA" w14:textId="77777777" w:rsidR="00387077" w:rsidRDefault="00387077" w:rsidP="00343FB0">
      <w:pPr>
        <w:jc w:val="both"/>
        <w:rPr>
          <w:b/>
          <w:bCs/>
        </w:rPr>
      </w:pPr>
    </w:p>
    <w:p w14:paraId="3C2D7194" w14:textId="77777777" w:rsidR="00D93420" w:rsidRDefault="00D93420" w:rsidP="00343FB0">
      <w:pPr>
        <w:jc w:val="both"/>
        <w:rPr>
          <w:b/>
          <w:bCs/>
        </w:rPr>
      </w:pPr>
    </w:p>
    <w:p w14:paraId="366B2218" w14:textId="77777777" w:rsidR="00343FB0" w:rsidRDefault="00343FB0" w:rsidP="00343FB0">
      <w:pPr>
        <w:jc w:val="both"/>
        <w:rPr>
          <w:b/>
          <w:bCs/>
          <w:i/>
        </w:rPr>
      </w:pPr>
      <w:r w:rsidRPr="00A76B30">
        <w:rPr>
          <w:b/>
          <w:bCs/>
        </w:rPr>
        <w:t>XI.4</w:t>
      </w:r>
      <w:r>
        <w:rPr>
          <w:b/>
          <w:bCs/>
        </w:rPr>
        <w:t xml:space="preserve">.2.1 - </w:t>
      </w:r>
      <w:r w:rsidRPr="00A76B30">
        <w:rPr>
          <w:b/>
          <w:bCs/>
        </w:rPr>
        <w:t>Future opportunità di finanziamento</w:t>
      </w:r>
      <w:r w:rsidR="003E4302">
        <w:rPr>
          <w:b/>
          <w:bCs/>
        </w:rPr>
        <w:t xml:space="preserve"> </w:t>
      </w:r>
      <w:r>
        <w:rPr>
          <w:b/>
          <w:bCs/>
        </w:rPr>
        <w:t xml:space="preserve">- </w:t>
      </w:r>
      <w:proofErr w:type="spellStart"/>
      <w:r w:rsidRPr="00A76B30">
        <w:rPr>
          <w:b/>
          <w:bCs/>
          <w:i/>
        </w:rPr>
        <w:t>Blending</w:t>
      </w:r>
      <w:proofErr w:type="spellEnd"/>
      <w:r w:rsidRPr="00A76B30">
        <w:rPr>
          <w:b/>
          <w:bCs/>
          <w:i/>
        </w:rPr>
        <w:t xml:space="preserve"> Facility</w:t>
      </w:r>
      <w:r w:rsidRPr="00A76B30">
        <w:rPr>
          <w:b/>
          <w:bCs/>
        </w:rPr>
        <w:t xml:space="preserve"> e </w:t>
      </w:r>
      <w:proofErr w:type="spellStart"/>
      <w:r w:rsidRPr="00A76B30">
        <w:rPr>
          <w:b/>
          <w:bCs/>
          <w:i/>
        </w:rPr>
        <w:t>Reflow</w:t>
      </w:r>
      <w:proofErr w:type="spellEnd"/>
      <w:r w:rsidRPr="00A76B30">
        <w:rPr>
          <w:b/>
          <w:bCs/>
          <w:i/>
        </w:rPr>
        <w:t xml:space="preserve"> Call</w:t>
      </w:r>
      <w:r>
        <w:rPr>
          <w:b/>
          <w:bCs/>
          <w:i/>
        </w:rPr>
        <w:t xml:space="preserve"> 2</w:t>
      </w:r>
    </w:p>
    <w:p w14:paraId="4707B8B4" w14:textId="77777777" w:rsidR="00343FB0" w:rsidRPr="00A76B30" w:rsidRDefault="00343FB0" w:rsidP="00343FB0">
      <w:pPr>
        <w:jc w:val="both"/>
        <w:rPr>
          <w:b/>
          <w:bCs/>
        </w:rPr>
      </w:pPr>
    </w:p>
    <w:p w14:paraId="0E459DE5" w14:textId="77777777" w:rsidR="00343FB0" w:rsidRPr="008627B9" w:rsidRDefault="00343FB0" w:rsidP="00343FB0">
      <w:pPr>
        <w:contextualSpacing/>
        <w:jc w:val="both"/>
        <w:rPr>
          <w:rFonts w:cs="Times New Roman"/>
        </w:rPr>
      </w:pPr>
      <w:r w:rsidRPr="00A76B30">
        <w:rPr>
          <w:rFonts w:cs="Times New Roman"/>
        </w:rPr>
        <w:tab/>
      </w:r>
      <w:r w:rsidRPr="008627B9">
        <w:rPr>
          <w:rFonts w:cs="Times New Roman"/>
        </w:rPr>
        <w:t xml:space="preserve">Le ultime occasioni di finanziamento prima della conclusione del Programma, la cui eleggibilità è stata </w:t>
      </w:r>
      <w:r w:rsidR="00E20B47" w:rsidRPr="008627B9">
        <w:rPr>
          <w:rFonts w:cs="Times New Roman"/>
        </w:rPr>
        <w:t>peraltro</w:t>
      </w:r>
      <w:r w:rsidR="00E20B47" w:rsidRPr="00E20B47">
        <w:rPr>
          <w:rFonts w:cs="Times New Roman"/>
        </w:rPr>
        <w:t xml:space="preserve"> </w:t>
      </w:r>
      <w:r w:rsidR="00E20B47">
        <w:rPr>
          <w:rFonts w:cs="Times New Roman"/>
        </w:rPr>
        <w:t xml:space="preserve">estesa </w:t>
      </w:r>
      <w:r w:rsidR="00F24D9F">
        <w:rPr>
          <w:rFonts w:cs="Times New Roman"/>
        </w:rPr>
        <w:t xml:space="preserve">al 31 dicembre </w:t>
      </w:r>
      <w:r w:rsidRPr="008627B9">
        <w:rPr>
          <w:rFonts w:cs="Times New Roman"/>
        </w:rPr>
        <w:t xml:space="preserve">2023, sono </w:t>
      </w:r>
      <w:r w:rsidR="00F24D9F">
        <w:rPr>
          <w:rFonts w:cs="Times New Roman"/>
        </w:rPr>
        <w:t>costituite dallo schema di finanziamento</w:t>
      </w:r>
      <w:r w:rsidRPr="008627B9">
        <w:t xml:space="preserve"> </w:t>
      </w:r>
      <w:proofErr w:type="spellStart"/>
      <w:r w:rsidRPr="00F63DA4">
        <w:rPr>
          <w:i/>
        </w:rPr>
        <w:t>Blending</w:t>
      </w:r>
      <w:proofErr w:type="spellEnd"/>
      <w:r w:rsidRPr="00F63DA4">
        <w:rPr>
          <w:i/>
        </w:rPr>
        <w:t xml:space="preserve"> Facility</w:t>
      </w:r>
      <w:r w:rsidRPr="008627B9">
        <w:t xml:space="preserve">, </w:t>
      </w:r>
      <w:r w:rsidRPr="00F24D9F">
        <w:t>attualmente</w:t>
      </w:r>
      <w:r w:rsidR="00245896" w:rsidRPr="00F24D9F">
        <w:t xml:space="preserve"> </w:t>
      </w:r>
      <w:r w:rsidR="00245896" w:rsidRPr="00F63DA4">
        <w:t>in corso</w:t>
      </w:r>
      <w:r w:rsidRPr="00F24D9F">
        <w:t xml:space="preserve">, </w:t>
      </w:r>
      <w:r w:rsidR="00F24D9F" w:rsidRPr="00F24D9F">
        <w:t>e</w:t>
      </w:r>
      <w:r w:rsidR="00F24D9F">
        <w:t xml:space="preserve"> dal </w:t>
      </w:r>
      <w:r w:rsidRPr="008627B9">
        <w:t>secondo bando d</w:t>
      </w:r>
      <w:r w:rsidR="00F24D9F">
        <w:t>enominato</w:t>
      </w:r>
      <w:r w:rsidRPr="008627B9">
        <w:t xml:space="preserve"> </w:t>
      </w:r>
      <w:proofErr w:type="spellStart"/>
      <w:r w:rsidR="00B32033">
        <w:rPr>
          <w:i/>
        </w:rPr>
        <w:t>R</w:t>
      </w:r>
      <w:r w:rsidRPr="00F63DA4">
        <w:rPr>
          <w:i/>
        </w:rPr>
        <w:t>eflow</w:t>
      </w:r>
      <w:proofErr w:type="spellEnd"/>
      <w:r w:rsidR="00B32033">
        <w:rPr>
          <w:i/>
        </w:rPr>
        <w:t xml:space="preserve"> call</w:t>
      </w:r>
      <w:r w:rsidRPr="008627B9">
        <w:t>”, il cui lancio è atteso entro la fine del 2020.</w:t>
      </w:r>
    </w:p>
    <w:p w14:paraId="1FC71F21" w14:textId="77777777" w:rsidR="00343FB0" w:rsidRPr="008627B9" w:rsidRDefault="00F24D9F" w:rsidP="00343FB0">
      <w:pPr>
        <w:ind w:firstLine="709"/>
        <w:contextualSpacing/>
        <w:jc w:val="both"/>
        <w:rPr>
          <w:rFonts w:cs="Times New Roman"/>
        </w:rPr>
      </w:pPr>
      <w:r>
        <w:t xml:space="preserve">Il </w:t>
      </w:r>
      <w:proofErr w:type="spellStart"/>
      <w:r w:rsidRPr="00F63DA4">
        <w:rPr>
          <w:i/>
        </w:rPr>
        <w:t>Blending</w:t>
      </w:r>
      <w:proofErr w:type="spellEnd"/>
      <w:r w:rsidRPr="00F63DA4">
        <w:rPr>
          <w:i/>
        </w:rPr>
        <w:t xml:space="preserve"> Facility</w:t>
      </w:r>
      <w:r w:rsidR="00343FB0" w:rsidRPr="008627B9">
        <w:rPr>
          <w:rFonts w:cs="Times New Roman"/>
        </w:rPr>
        <w:t>, lanciat</w:t>
      </w:r>
      <w:r>
        <w:rPr>
          <w:rFonts w:cs="Times New Roman"/>
        </w:rPr>
        <w:t>o</w:t>
      </w:r>
      <w:r w:rsidR="00343FB0" w:rsidRPr="008627B9">
        <w:rPr>
          <w:rFonts w:cs="Times New Roman"/>
        </w:rPr>
        <w:t xml:space="preserve"> a</w:t>
      </w:r>
      <w:r>
        <w:rPr>
          <w:rFonts w:cs="Times New Roman"/>
        </w:rPr>
        <w:t xml:space="preserve"> novembre</w:t>
      </w:r>
      <w:r w:rsidR="00343FB0" w:rsidRPr="008627B9">
        <w:rPr>
          <w:rFonts w:cs="Times New Roman"/>
        </w:rPr>
        <w:t xml:space="preserve"> 2019, consiste in un </w:t>
      </w:r>
      <w:r>
        <w:rPr>
          <w:rFonts w:cs="Times New Roman"/>
        </w:rPr>
        <w:t xml:space="preserve">meccanismo </w:t>
      </w:r>
      <w:r w:rsidR="00343FB0" w:rsidRPr="008627B9">
        <w:rPr>
          <w:rFonts w:cs="Times New Roman"/>
        </w:rPr>
        <w:t>di finanziamento innovativo</w:t>
      </w:r>
      <w:r>
        <w:rPr>
          <w:rFonts w:cs="Times New Roman"/>
        </w:rPr>
        <w:t xml:space="preserve"> </w:t>
      </w:r>
      <w:r w:rsidR="00343FB0" w:rsidRPr="008627B9">
        <w:rPr>
          <w:rFonts w:cs="Times New Roman"/>
        </w:rPr>
        <w:t xml:space="preserve">approvato </w:t>
      </w:r>
      <w:r>
        <w:rPr>
          <w:rFonts w:cs="Times New Roman"/>
        </w:rPr>
        <w:t>dagli</w:t>
      </w:r>
      <w:r w:rsidR="00343FB0" w:rsidRPr="008627B9">
        <w:rPr>
          <w:rFonts w:cs="Times New Roman"/>
        </w:rPr>
        <w:t xml:space="preserve"> Stati Membri a marzo 2019. </w:t>
      </w:r>
      <w:r>
        <w:rPr>
          <w:rFonts w:cs="Times New Roman"/>
        </w:rPr>
        <w:t>Più</w:t>
      </w:r>
      <w:r w:rsidR="00343FB0" w:rsidRPr="008627B9">
        <w:rPr>
          <w:rFonts w:cs="Times New Roman"/>
        </w:rPr>
        <w:t xml:space="preserve"> generale, le “</w:t>
      </w:r>
      <w:proofErr w:type="spellStart"/>
      <w:r w:rsidR="00343FB0" w:rsidRPr="008627B9">
        <w:rPr>
          <w:rFonts w:cs="Times New Roman"/>
          <w:i/>
        </w:rPr>
        <w:t>Blending</w:t>
      </w:r>
      <w:proofErr w:type="spellEnd"/>
      <w:r w:rsidR="00343FB0" w:rsidRPr="008627B9">
        <w:rPr>
          <w:rFonts w:cs="Times New Roman"/>
          <w:i/>
        </w:rPr>
        <w:t xml:space="preserve"> </w:t>
      </w:r>
      <w:proofErr w:type="spellStart"/>
      <w:r w:rsidR="00343FB0" w:rsidRPr="008627B9">
        <w:rPr>
          <w:rFonts w:cs="Times New Roman"/>
          <w:i/>
        </w:rPr>
        <w:t>Operation</w:t>
      </w:r>
      <w:proofErr w:type="spellEnd"/>
      <w:r w:rsidR="00343FB0" w:rsidRPr="008627B9">
        <w:rPr>
          <w:rFonts w:cs="Times New Roman"/>
        </w:rPr>
        <w:t>”, sono strumenti introdotti con il Regolamento Omnibus adottato nel mese di luglio 2018, che si basano sul principio di combinazione di diverse tipologie di risorse finanziarie: sovvenzioni a fondo perduto (</w:t>
      </w:r>
      <w:proofErr w:type="spellStart"/>
      <w:r w:rsidR="00343FB0" w:rsidRPr="008627B9">
        <w:rPr>
          <w:rFonts w:cs="Times New Roman"/>
          <w:i/>
        </w:rPr>
        <w:t>grant</w:t>
      </w:r>
      <w:proofErr w:type="spellEnd"/>
      <w:r w:rsidR="00343FB0" w:rsidRPr="008627B9">
        <w:rPr>
          <w:rFonts w:cs="Times New Roman"/>
        </w:rPr>
        <w:t xml:space="preserve">) e </w:t>
      </w:r>
      <w:r w:rsidR="00343FB0" w:rsidRPr="008627B9">
        <w:rPr>
          <w:rFonts w:cs="Times New Roman"/>
        </w:rPr>
        <w:lastRenderedPageBreak/>
        <w:t>strumenti di finanza innovativa (garanzie, prestiti ecc.)</w:t>
      </w:r>
      <w:r>
        <w:rPr>
          <w:rFonts w:cs="Times New Roman"/>
        </w:rPr>
        <w:t xml:space="preserve">, </w:t>
      </w:r>
      <w:r w:rsidR="00343FB0" w:rsidRPr="008627B9">
        <w:rPr>
          <w:rFonts w:cs="Times New Roman"/>
        </w:rPr>
        <w:t xml:space="preserve">preliminarmente sperimentati nei bandi del 2017 </w:t>
      </w:r>
      <w:r>
        <w:rPr>
          <w:rFonts w:cs="Times New Roman"/>
        </w:rPr>
        <w:t>detti</w:t>
      </w:r>
      <w:r w:rsidRPr="008627B9">
        <w:rPr>
          <w:rFonts w:cs="Times New Roman"/>
        </w:rPr>
        <w:t xml:space="preserve"> </w:t>
      </w:r>
      <w:r w:rsidR="00343FB0" w:rsidRPr="008627B9">
        <w:rPr>
          <w:rFonts w:cs="Times New Roman"/>
        </w:rPr>
        <w:t>“</w:t>
      </w:r>
      <w:proofErr w:type="spellStart"/>
      <w:r w:rsidR="00343FB0" w:rsidRPr="008627B9">
        <w:rPr>
          <w:rFonts w:cs="Times New Roman"/>
          <w:i/>
        </w:rPr>
        <w:t>Blending</w:t>
      </w:r>
      <w:proofErr w:type="spellEnd"/>
      <w:r w:rsidR="00343FB0" w:rsidRPr="008627B9">
        <w:rPr>
          <w:rFonts w:cs="Times New Roman"/>
          <w:i/>
        </w:rPr>
        <w:t xml:space="preserve"> call</w:t>
      </w:r>
      <w:r w:rsidR="00343FB0" w:rsidRPr="008627B9">
        <w:rPr>
          <w:rFonts w:cs="Times New Roman"/>
        </w:rPr>
        <w:t xml:space="preserve">”. </w:t>
      </w:r>
    </w:p>
    <w:p w14:paraId="3501ECA9" w14:textId="77777777" w:rsidR="00343FB0" w:rsidRPr="008627B9" w:rsidRDefault="00343FB0" w:rsidP="00343FB0">
      <w:pPr>
        <w:contextualSpacing/>
        <w:jc w:val="both"/>
        <w:rPr>
          <w:rFonts w:cs="Times New Roman"/>
        </w:rPr>
      </w:pPr>
      <w:r w:rsidRPr="008627B9">
        <w:rPr>
          <w:rFonts w:cs="Times New Roman"/>
        </w:rPr>
        <w:tab/>
        <w:t xml:space="preserve">Il programma di lavoro, adottato con Decisione </w:t>
      </w:r>
      <w:proofErr w:type="gramStart"/>
      <w:r w:rsidRPr="008627B9">
        <w:rPr>
          <w:iCs/>
        </w:rPr>
        <w:t>C(</w:t>
      </w:r>
      <w:proofErr w:type="gramEnd"/>
      <w:r w:rsidRPr="008627B9">
        <w:rPr>
          <w:iCs/>
        </w:rPr>
        <w:t>2019)274</w:t>
      </w:r>
      <w:r w:rsidRPr="008627B9">
        <w:rPr>
          <w:rFonts w:cs="Times New Roman"/>
        </w:rPr>
        <w:t xml:space="preserve">, è rivolto a due priorità nell’ambito degli obiettivi del CEF: favorire l’adozione di carburanti alternativi e </w:t>
      </w:r>
      <w:r w:rsidR="00F24D9F" w:rsidRPr="008627B9">
        <w:rPr>
          <w:rFonts w:cs="Times New Roman"/>
        </w:rPr>
        <w:t>l’</w:t>
      </w:r>
      <w:r w:rsidR="00F24D9F">
        <w:rPr>
          <w:rFonts w:cs="Times New Roman"/>
        </w:rPr>
        <w:t>attuazione</w:t>
      </w:r>
      <w:r w:rsidR="00F24D9F" w:rsidRPr="008627B9">
        <w:rPr>
          <w:rFonts w:cs="Times New Roman"/>
        </w:rPr>
        <w:t xml:space="preserve"> </w:t>
      </w:r>
      <w:r w:rsidRPr="008627B9">
        <w:rPr>
          <w:rFonts w:cs="Times New Roman"/>
        </w:rPr>
        <w:t>del sistema di gestione del traffico ferroviario ERTMS</w:t>
      </w:r>
      <w:r w:rsidR="00F24D9F">
        <w:rPr>
          <w:rFonts w:cs="Times New Roman"/>
        </w:rPr>
        <w:t xml:space="preserve">. Si </w:t>
      </w:r>
      <w:r w:rsidRPr="008627B9">
        <w:rPr>
          <w:rFonts w:cs="Times New Roman"/>
        </w:rPr>
        <w:t>prevede una do</w:t>
      </w:r>
      <w:r w:rsidR="00245896">
        <w:rPr>
          <w:rFonts w:cs="Times New Roman"/>
        </w:rPr>
        <w:t>tazione finanziaria complessiva</w:t>
      </w:r>
      <w:r w:rsidRPr="008627B9">
        <w:rPr>
          <w:rFonts w:cs="Times New Roman"/>
        </w:rPr>
        <w:t xml:space="preserve"> p</w:t>
      </w:r>
      <w:r w:rsidR="00F24D9F">
        <w:rPr>
          <w:rFonts w:cs="Times New Roman"/>
        </w:rPr>
        <w:t xml:space="preserve">ari a </w:t>
      </w:r>
      <w:r w:rsidRPr="008627B9">
        <w:rPr>
          <w:rFonts w:cs="Times New Roman"/>
        </w:rPr>
        <w:t>198 milioni di euro equamente suddivisa tra le due sopraindicate linee di azione</w:t>
      </w:r>
      <w:r w:rsidR="00F24D9F">
        <w:rPr>
          <w:rFonts w:cs="Times New Roman"/>
        </w:rPr>
        <w:t xml:space="preserve">, a cui </w:t>
      </w:r>
      <w:r w:rsidRPr="008627B9">
        <w:rPr>
          <w:rFonts w:cs="Times New Roman"/>
        </w:rPr>
        <w:t>si aggiungono 2 milioni di euro per il finanziamento di una piattaforma di consulenza della Banca Europea degli Investimenti (BEI) denominata “</w:t>
      </w:r>
      <w:proofErr w:type="spellStart"/>
      <w:r w:rsidRPr="008627B9">
        <w:rPr>
          <w:rFonts w:cs="Times New Roman"/>
          <w:i/>
        </w:rPr>
        <w:t>Advisory</w:t>
      </w:r>
      <w:proofErr w:type="spellEnd"/>
      <w:r w:rsidRPr="008627B9">
        <w:rPr>
          <w:rFonts w:cs="Times New Roman"/>
          <w:i/>
        </w:rPr>
        <w:t xml:space="preserve"> HUB</w:t>
      </w:r>
      <w:r w:rsidRPr="008627B9">
        <w:rPr>
          <w:rFonts w:cs="Times New Roman"/>
        </w:rPr>
        <w:t>” finalizzata a supportare</w:t>
      </w:r>
      <w:r w:rsidR="00F24D9F">
        <w:rPr>
          <w:rFonts w:cs="Times New Roman"/>
        </w:rPr>
        <w:t>,</w:t>
      </w:r>
      <w:r w:rsidRPr="008627B9">
        <w:rPr>
          <w:rFonts w:cs="Times New Roman"/>
        </w:rPr>
        <w:t xml:space="preserve"> con attività di assistenza tecnica</w:t>
      </w:r>
      <w:r w:rsidR="00F24D9F">
        <w:rPr>
          <w:rFonts w:cs="Times New Roman"/>
        </w:rPr>
        <w:t>,</w:t>
      </w:r>
      <w:r w:rsidRPr="008627B9">
        <w:rPr>
          <w:rFonts w:cs="Times New Roman"/>
        </w:rPr>
        <w:t xml:space="preserve"> potenziali promotori di proposte progettuali da candidare al bando. Il cofinanziamento </w:t>
      </w:r>
      <w:r w:rsidR="00B32033">
        <w:rPr>
          <w:rFonts w:cs="Times New Roman"/>
        </w:rPr>
        <w:t>delle</w:t>
      </w:r>
      <w:r w:rsidRPr="008627B9">
        <w:rPr>
          <w:rFonts w:cs="Times New Roman"/>
        </w:rPr>
        <w:t xml:space="preserve"> proposte</w:t>
      </w:r>
      <w:r w:rsidR="00B32033">
        <w:rPr>
          <w:rFonts w:cs="Times New Roman"/>
        </w:rPr>
        <w:t xml:space="preserve"> presentate sotto il </w:t>
      </w:r>
      <w:proofErr w:type="spellStart"/>
      <w:r w:rsidR="00B32033" w:rsidRPr="00E20B47">
        <w:rPr>
          <w:rFonts w:cs="Times New Roman"/>
          <w:i/>
        </w:rPr>
        <w:t>Blending</w:t>
      </w:r>
      <w:proofErr w:type="spellEnd"/>
      <w:r w:rsidR="00B32033" w:rsidRPr="00E20B47">
        <w:rPr>
          <w:rFonts w:cs="Times New Roman"/>
          <w:i/>
        </w:rPr>
        <w:t xml:space="preserve"> Facility</w:t>
      </w:r>
      <w:r w:rsidR="00B32033">
        <w:rPr>
          <w:rFonts w:cs="Times New Roman"/>
        </w:rPr>
        <w:t>,</w:t>
      </w:r>
      <w:r w:rsidRPr="008627B9">
        <w:rPr>
          <w:rFonts w:cs="Times New Roman"/>
        </w:rPr>
        <w:t xml:space="preserve"> prevede tassi che variano dal 10% al 20% per le azioni di adozione dei carburanti alternativi mentre criteri basati su costi unitari per </w:t>
      </w:r>
      <w:r w:rsidRPr="008627B9">
        <w:t>interventi di attuazione del sistema ERTMS.</w:t>
      </w:r>
    </w:p>
    <w:p w14:paraId="25E0E7A9" w14:textId="77777777" w:rsidR="00343FB0" w:rsidRPr="008627B9" w:rsidRDefault="00343FB0" w:rsidP="00F63DA4">
      <w:pPr>
        <w:ind w:firstLine="709"/>
        <w:contextualSpacing/>
        <w:jc w:val="both"/>
        <w:rPr>
          <w:rFonts w:cs="Times New Roman"/>
        </w:rPr>
      </w:pPr>
      <w:r w:rsidRPr="008627B9">
        <w:rPr>
          <w:rFonts w:cs="Times New Roman"/>
        </w:rPr>
        <w:t xml:space="preserve">Il processo di sottomissione delle proposte è “a sportello”, ovvero senza una scadenza prefissata. Le proposte possono essere sottomesse continuativamente fino a </w:t>
      </w:r>
      <w:proofErr w:type="gramStart"/>
      <w:r w:rsidRPr="008627B9">
        <w:rPr>
          <w:rFonts w:cs="Times New Roman"/>
        </w:rPr>
        <w:t>Marzo</w:t>
      </w:r>
      <w:proofErr w:type="gramEnd"/>
      <w:r w:rsidRPr="008627B9">
        <w:rPr>
          <w:rFonts w:cs="Times New Roman"/>
        </w:rPr>
        <w:t xml:space="preserve"> 2021 o fino all’esaurimento della dotazione di bilancio a disposizione e in date predefinite si avvia il processo di valutazione, su base trimestrale. La prima data del bando, cosiddetta </w:t>
      </w:r>
      <w:proofErr w:type="spellStart"/>
      <w:r w:rsidRPr="008627B9">
        <w:rPr>
          <w:rFonts w:cs="Times New Roman"/>
          <w:i/>
          <w:iCs/>
        </w:rPr>
        <w:t>cut</w:t>
      </w:r>
      <w:proofErr w:type="spellEnd"/>
      <w:r w:rsidRPr="008627B9">
        <w:rPr>
          <w:rFonts w:cs="Times New Roman"/>
          <w:i/>
          <w:iCs/>
        </w:rPr>
        <w:t>-off date</w:t>
      </w:r>
      <w:r w:rsidRPr="008627B9">
        <w:rPr>
          <w:rFonts w:cs="Times New Roman"/>
        </w:rPr>
        <w:t xml:space="preserve">, è stata il 14 febbraio 2020, a cui è seguita quella del 15 maggio 2020. La data successiva è prevista </w:t>
      </w:r>
      <w:r w:rsidR="00B32033">
        <w:rPr>
          <w:rFonts w:cs="Times New Roman"/>
        </w:rPr>
        <w:t>il 28</w:t>
      </w:r>
      <w:r w:rsidRPr="008627B9">
        <w:rPr>
          <w:rFonts w:cs="Times New Roman"/>
        </w:rPr>
        <w:t xml:space="preserve"> agosto</w:t>
      </w:r>
      <w:r w:rsidR="00B32033">
        <w:rPr>
          <w:rFonts w:cs="Times New Roman"/>
        </w:rPr>
        <w:t xml:space="preserve"> 2020</w:t>
      </w:r>
      <w:r w:rsidRPr="008627B9">
        <w:rPr>
          <w:rFonts w:cs="Times New Roman"/>
        </w:rPr>
        <w:t xml:space="preserve">, ma è vincolata </w:t>
      </w:r>
      <w:r w:rsidR="00B32033">
        <w:rPr>
          <w:rFonts w:cs="Times New Roman"/>
        </w:rPr>
        <w:t>d</w:t>
      </w:r>
      <w:r w:rsidRPr="008627B9">
        <w:rPr>
          <w:rFonts w:cs="Times New Roman"/>
        </w:rPr>
        <w:t xml:space="preserve">agli esiti delle valutazioni delle proposte presentate nelle prime due </w:t>
      </w:r>
      <w:proofErr w:type="spellStart"/>
      <w:r w:rsidRPr="008627B9">
        <w:rPr>
          <w:rFonts w:cs="Times New Roman"/>
          <w:i/>
          <w:iCs/>
        </w:rPr>
        <w:t>cut</w:t>
      </w:r>
      <w:proofErr w:type="spellEnd"/>
      <w:r w:rsidRPr="008627B9">
        <w:rPr>
          <w:rFonts w:cs="Times New Roman"/>
          <w:i/>
          <w:iCs/>
        </w:rPr>
        <w:t>-off date</w:t>
      </w:r>
      <w:r w:rsidRPr="008627B9">
        <w:rPr>
          <w:rFonts w:cs="Times New Roman"/>
        </w:rPr>
        <w:t xml:space="preserve"> </w:t>
      </w:r>
      <w:r w:rsidR="00B32033">
        <w:rPr>
          <w:rFonts w:cs="Times New Roman"/>
        </w:rPr>
        <w:t xml:space="preserve">e dai relativi assorbimenti </w:t>
      </w:r>
      <w:r w:rsidRPr="008627B9">
        <w:rPr>
          <w:rFonts w:cs="Times New Roman"/>
        </w:rPr>
        <w:t>della dotazione finanziaria.</w:t>
      </w:r>
    </w:p>
    <w:p w14:paraId="4024172F" w14:textId="77777777" w:rsidR="00343FB0" w:rsidRPr="008627B9" w:rsidRDefault="00B32033" w:rsidP="00F63DA4">
      <w:pPr>
        <w:ind w:firstLine="709"/>
        <w:contextualSpacing/>
        <w:jc w:val="both"/>
        <w:rPr>
          <w:rFonts w:cs="Times New Roman"/>
        </w:rPr>
      </w:pPr>
      <w:r>
        <w:rPr>
          <w:rFonts w:cs="Times New Roman"/>
        </w:rPr>
        <w:t>P</w:t>
      </w:r>
      <w:r w:rsidR="00343FB0" w:rsidRPr="008627B9">
        <w:rPr>
          <w:rFonts w:cs="Times New Roman"/>
        </w:rPr>
        <w:t xml:space="preserve">reliminarmente alla formale candidatura tramite presentazione della proposta entro le date </w:t>
      </w:r>
      <w:r>
        <w:rPr>
          <w:rFonts w:cs="Times New Roman"/>
        </w:rPr>
        <w:t>fissate</w:t>
      </w:r>
      <w:r w:rsidR="00343FB0" w:rsidRPr="008627B9">
        <w:rPr>
          <w:rFonts w:cs="Times New Roman"/>
        </w:rPr>
        <w:t xml:space="preserve">, </w:t>
      </w:r>
      <w:r>
        <w:rPr>
          <w:rFonts w:cs="Times New Roman"/>
        </w:rPr>
        <w:t xml:space="preserve">è necessario che sia stata effettuata </w:t>
      </w:r>
      <w:r w:rsidR="00343FB0" w:rsidRPr="008627B9">
        <w:rPr>
          <w:rFonts w:cs="Times New Roman"/>
        </w:rPr>
        <w:t xml:space="preserve">una </w:t>
      </w:r>
      <w:r w:rsidR="00343FB0" w:rsidRPr="008627B9">
        <w:rPr>
          <w:rFonts w:cs="Times New Roman"/>
          <w:i/>
        </w:rPr>
        <w:t>due diligence</w:t>
      </w:r>
      <w:r w:rsidR="00343FB0" w:rsidRPr="008627B9">
        <w:rPr>
          <w:rFonts w:cs="Times New Roman"/>
        </w:rPr>
        <w:t xml:space="preserve"> da</w:t>
      </w:r>
      <w:r>
        <w:rPr>
          <w:rFonts w:cs="Times New Roman"/>
        </w:rPr>
        <w:t xml:space="preserve"> parte di</w:t>
      </w:r>
      <w:r w:rsidR="00343FB0" w:rsidRPr="008627B9">
        <w:rPr>
          <w:rFonts w:cs="Times New Roman"/>
        </w:rPr>
        <w:t xml:space="preserve"> un’istituzione finanziaria partner della Commissione Europea (Banca Europea degli Investimenti, Cassa Depositi e Prestiti o nuovi </w:t>
      </w:r>
      <w:proofErr w:type="spellStart"/>
      <w:r w:rsidR="00343FB0" w:rsidRPr="008627B9">
        <w:rPr>
          <w:rFonts w:cs="Times New Roman"/>
          <w:i/>
        </w:rPr>
        <w:t>implementing</w:t>
      </w:r>
      <w:proofErr w:type="spellEnd"/>
      <w:r w:rsidR="00343FB0" w:rsidRPr="008627B9">
        <w:rPr>
          <w:rFonts w:cs="Times New Roman"/>
          <w:i/>
        </w:rPr>
        <w:t xml:space="preserve"> partner </w:t>
      </w:r>
      <w:r w:rsidRPr="00F63DA4">
        <w:rPr>
          <w:rFonts w:cs="Times New Roman"/>
        </w:rPr>
        <w:t xml:space="preserve">preventivamente </w:t>
      </w:r>
      <w:r w:rsidR="00343FB0" w:rsidRPr="008627B9">
        <w:rPr>
          <w:rFonts w:cs="Times New Roman"/>
        </w:rPr>
        <w:t xml:space="preserve">certificati) </w:t>
      </w:r>
      <w:r w:rsidR="007B65D7">
        <w:rPr>
          <w:rFonts w:cs="Times New Roman"/>
        </w:rPr>
        <w:t>nonché</w:t>
      </w:r>
      <w:r w:rsidR="00343FB0" w:rsidRPr="008627B9">
        <w:rPr>
          <w:rFonts w:cs="Times New Roman"/>
        </w:rPr>
        <w:t xml:space="preserve"> l’inserimento della proposta in un’apposita </w:t>
      </w:r>
      <w:r w:rsidR="00343FB0" w:rsidRPr="00F63DA4">
        <w:rPr>
          <w:rFonts w:cs="Times New Roman"/>
          <w:i/>
        </w:rPr>
        <w:t>pipeline</w:t>
      </w:r>
      <w:r w:rsidR="00343FB0" w:rsidRPr="008627B9">
        <w:rPr>
          <w:rFonts w:cs="Times New Roman"/>
        </w:rPr>
        <w:t xml:space="preserve"> di progetti che pass</w:t>
      </w:r>
      <w:r>
        <w:rPr>
          <w:rFonts w:cs="Times New Roman"/>
        </w:rPr>
        <w:t>a</w:t>
      </w:r>
      <w:r w:rsidR="00343FB0" w:rsidRPr="008627B9">
        <w:rPr>
          <w:rFonts w:cs="Times New Roman"/>
        </w:rPr>
        <w:t xml:space="preserve"> al vaglio </w:t>
      </w:r>
      <w:r>
        <w:rPr>
          <w:rFonts w:cs="Times New Roman"/>
        </w:rPr>
        <w:t xml:space="preserve">non solo della Commissione europea ma anche </w:t>
      </w:r>
      <w:r w:rsidR="00343FB0" w:rsidRPr="008627B9">
        <w:rPr>
          <w:rFonts w:cs="Times New Roman"/>
        </w:rPr>
        <w:t xml:space="preserve">degli Stati membri. Nel programma di lavoro sono identificate anche le dimensioni minime per la richiesta di sovvenzione a fondo perduto (1 milione di euro) e per la quota di finanziamento </w:t>
      </w:r>
      <w:r w:rsidR="00E20B47">
        <w:rPr>
          <w:rFonts w:cs="Times New Roman"/>
        </w:rPr>
        <w:t>in forma di prestiti</w:t>
      </w:r>
      <w:r w:rsidR="00343FB0" w:rsidRPr="008627B9">
        <w:rPr>
          <w:rFonts w:cs="Times New Roman"/>
        </w:rPr>
        <w:t xml:space="preserve"> (5 milioni di euro)</w:t>
      </w:r>
      <w:r>
        <w:rPr>
          <w:rFonts w:cs="Times New Roman"/>
        </w:rPr>
        <w:t>.</w:t>
      </w:r>
    </w:p>
    <w:p w14:paraId="439A4948" w14:textId="77777777" w:rsidR="00343FB0" w:rsidRPr="008627B9" w:rsidRDefault="00343FB0" w:rsidP="00343FB0">
      <w:pPr>
        <w:contextualSpacing/>
        <w:jc w:val="both"/>
        <w:rPr>
          <w:rFonts w:cs="Times New Roman"/>
          <w:strike/>
        </w:rPr>
      </w:pPr>
      <w:r w:rsidRPr="008627B9">
        <w:rPr>
          <w:rFonts w:cs="Times New Roman"/>
        </w:rPr>
        <w:tab/>
      </w:r>
      <w:r w:rsidR="00B32033">
        <w:rPr>
          <w:rFonts w:cs="Times New Roman"/>
        </w:rPr>
        <w:t>Il secondo strumento,</w:t>
      </w:r>
      <w:r w:rsidRPr="008627B9">
        <w:rPr>
          <w:rFonts w:cs="Times New Roman"/>
        </w:rPr>
        <w:t xml:space="preserve"> di tipo tradizionale, </w:t>
      </w:r>
      <w:r w:rsidR="00E20B47">
        <w:rPr>
          <w:rFonts w:cs="Times New Roman"/>
        </w:rPr>
        <w:t xml:space="preserve">è </w:t>
      </w:r>
      <w:r w:rsidRPr="008627B9">
        <w:rPr>
          <w:rFonts w:cs="Times New Roman"/>
        </w:rPr>
        <w:t>denominato “</w:t>
      </w:r>
      <w:proofErr w:type="spellStart"/>
      <w:r w:rsidRPr="008627B9">
        <w:rPr>
          <w:rFonts w:cs="Times New Roman"/>
          <w:i/>
        </w:rPr>
        <w:t>Reflow</w:t>
      </w:r>
      <w:proofErr w:type="spellEnd"/>
      <w:r w:rsidRPr="008627B9">
        <w:rPr>
          <w:rFonts w:cs="Times New Roman"/>
          <w:i/>
        </w:rPr>
        <w:t xml:space="preserve"> call</w:t>
      </w:r>
      <w:r w:rsidRPr="008627B9">
        <w:rPr>
          <w:rFonts w:cs="Times New Roman"/>
        </w:rPr>
        <w:t>”</w:t>
      </w:r>
      <w:r w:rsidR="00B32033">
        <w:rPr>
          <w:rFonts w:cs="Times New Roman"/>
        </w:rPr>
        <w:t xml:space="preserve"> per via del fatto che viene alimentato dai residui finanziari non assorbiti dai progetti in c</w:t>
      </w:r>
      <w:r w:rsidR="00E20B47">
        <w:rPr>
          <w:rFonts w:cs="Times New Roman"/>
        </w:rPr>
        <w:t>orso che rifluiscono nel budget ed</w:t>
      </w:r>
      <w:r w:rsidRPr="008627B9">
        <w:rPr>
          <w:rFonts w:cs="Times New Roman"/>
        </w:rPr>
        <w:t xml:space="preserve"> è atteso per la fine del 2020. La dotazione finanziaria deriverà dalla riduzione dei fondi allocati sui progetti a seguito della revisione di metà periodo effettuata dalla Commissione Europea </w:t>
      </w:r>
      <w:r w:rsidR="00B32033">
        <w:rPr>
          <w:rFonts w:cs="Times New Roman"/>
        </w:rPr>
        <w:t xml:space="preserve">sulla base degli stati di avanzamento che dimostreranno </w:t>
      </w:r>
      <w:r w:rsidRPr="008627B9">
        <w:rPr>
          <w:rFonts w:cs="Times New Roman"/>
        </w:rPr>
        <w:t xml:space="preserve">ritardi </w:t>
      </w:r>
      <w:r w:rsidR="00B32033">
        <w:rPr>
          <w:rFonts w:cs="Times New Roman"/>
        </w:rPr>
        <w:t xml:space="preserve">così forti da </w:t>
      </w:r>
      <w:r w:rsidRPr="008627B9">
        <w:rPr>
          <w:rFonts w:cs="Times New Roman"/>
        </w:rPr>
        <w:t>riten</w:t>
      </w:r>
      <w:r w:rsidR="00B32033">
        <w:rPr>
          <w:rFonts w:cs="Times New Roman"/>
        </w:rPr>
        <w:t>ersi</w:t>
      </w:r>
      <w:r w:rsidRPr="008627B9">
        <w:rPr>
          <w:rFonts w:cs="Times New Roman"/>
        </w:rPr>
        <w:t xml:space="preserve"> non recuperabili nell’arco della programmazione vigente, secondo l’applicazione del principio “</w:t>
      </w:r>
      <w:r w:rsidRPr="008627B9">
        <w:rPr>
          <w:rFonts w:cs="Times New Roman"/>
          <w:i/>
        </w:rPr>
        <w:t xml:space="preserve">Use </w:t>
      </w:r>
      <w:proofErr w:type="spellStart"/>
      <w:r w:rsidRPr="008627B9">
        <w:rPr>
          <w:rFonts w:cs="Times New Roman"/>
          <w:i/>
        </w:rPr>
        <w:t>it</w:t>
      </w:r>
      <w:proofErr w:type="spellEnd"/>
      <w:r w:rsidRPr="008627B9">
        <w:rPr>
          <w:rFonts w:cs="Times New Roman"/>
          <w:i/>
        </w:rPr>
        <w:t xml:space="preserve"> or </w:t>
      </w:r>
      <w:proofErr w:type="spellStart"/>
      <w:r w:rsidRPr="008627B9">
        <w:rPr>
          <w:rFonts w:cs="Times New Roman"/>
          <w:i/>
        </w:rPr>
        <w:t>loose</w:t>
      </w:r>
      <w:proofErr w:type="spellEnd"/>
      <w:r w:rsidRPr="008627B9">
        <w:rPr>
          <w:rFonts w:cs="Times New Roman"/>
          <w:i/>
        </w:rPr>
        <w:t xml:space="preserve"> </w:t>
      </w:r>
      <w:proofErr w:type="spellStart"/>
      <w:r w:rsidRPr="008627B9">
        <w:rPr>
          <w:rFonts w:cs="Times New Roman"/>
          <w:i/>
        </w:rPr>
        <w:t>it</w:t>
      </w:r>
      <w:proofErr w:type="spellEnd"/>
      <w:r w:rsidRPr="008627B9">
        <w:rPr>
          <w:rFonts w:cs="Times New Roman"/>
        </w:rPr>
        <w:t>”</w:t>
      </w:r>
      <w:r w:rsidR="00E20B47">
        <w:rPr>
          <w:rFonts w:cs="Times New Roman"/>
        </w:rPr>
        <w:t>,</w:t>
      </w:r>
      <w:r w:rsidRPr="008627B9">
        <w:rPr>
          <w:rFonts w:cs="Times New Roman"/>
        </w:rPr>
        <w:t xml:space="preserve"> </w:t>
      </w:r>
      <w:r w:rsidR="00E20B47">
        <w:rPr>
          <w:rFonts w:cs="Times New Roman"/>
        </w:rPr>
        <w:t>garantendo</w:t>
      </w:r>
      <w:r w:rsidRPr="008627B9">
        <w:rPr>
          <w:rFonts w:cs="Times New Roman"/>
        </w:rPr>
        <w:t xml:space="preserve"> l’uso efficace delle risorse comunitarie. </w:t>
      </w:r>
      <w:r w:rsidR="00BE4EDC">
        <w:rPr>
          <w:rFonts w:cs="Times New Roman"/>
        </w:rPr>
        <w:t>Essa sarà resa nota indicativamente prima dell’estate.</w:t>
      </w:r>
    </w:p>
    <w:p w14:paraId="10FA1584" w14:textId="77777777" w:rsidR="00343FB0" w:rsidRDefault="00B32033" w:rsidP="00343FB0">
      <w:pPr>
        <w:ind w:firstLine="709"/>
        <w:jc w:val="both"/>
      </w:pPr>
      <w:r>
        <w:t>Va precisato che i</w:t>
      </w:r>
      <w:r w:rsidR="00343FB0" w:rsidRPr="008627B9">
        <w:t xml:space="preserve"> bandi CEF sono sempre più caratterizzati da una forte concorrenza data anche da un crescente livello della qualità dei progetti presentati, pertanto</w:t>
      </w:r>
      <w:r>
        <w:t xml:space="preserve"> il volume delle proposte supera</w:t>
      </w:r>
      <w:r w:rsidR="00E20B47">
        <w:t xml:space="preserve"> ad ogni bando</w:t>
      </w:r>
      <w:r>
        <w:t xml:space="preserve"> di </w:t>
      </w:r>
      <w:r w:rsidR="00E20B47">
        <w:t xml:space="preserve">oltre </w:t>
      </w:r>
      <w:r>
        <w:t>due volte la dotazione messa a disposizione; in questi casi,</w:t>
      </w:r>
      <w:r w:rsidR="00343FB0" w:rsidRPr="008627B9">
        <w:t xml:space="preserve"> la maturità tecnico-finanziaria degli interventi</w:t>
      </w:r>
      <w:r>
        <w:t xml:space="preserve"> e quindi la copertura dei costi</w:t>
      </w:r>
      <w:r w:rsidR="00E20B47">
        <w:t>,</w:t>
      </w:r>
      <w:r>
        <w:t xml:space="preserve"> al netto del contributo richiesto, </w:t>
      </w:r>
      <w:r w:rsidR="00343FB0" w:rsidRPr="008627B9">
        <w:t xml:space="preserve">il loro </w:t>
      </w:r>
      <w:r>
        <w:t>valore</w:t>
      </w:r>
      <w:r w:rsidRPr="008627B9">
        <w:t xml:space="preserve"> </w:t>
      </w:r>
      <w:r w:rsidR="00343FB0" w:rsidRPr="008627B9">
        <w:t xml:space="preserve">aggiunto europeo e la loro piena rispondenza alle priorità del bando rappresentano i principali elementi </w:t>
      </w:r>
      <w:r>
        <w:t xml:space="preserve">che permettono </w:t>
      </w:r>
      <w:r w:rsidR="00E20B47">
        <w:t>di conseguire successo</w:t>
      </w:r>
      <w:r>
        <w:t xml:space="preserve"> </w:t>
      </w:r>
      <w:r w:rsidR="00343FB0" w:rsidRPr="008627B9">
        <w:t xml:space="preserve">nel processo di selezione. </w:t>
      </w:r>
    </w:p>
    <w:p w14:paraId="651831EE" w14:textId="77777777" w:rsidR="00937C1D" w:rsidRDefault="00937C1D" w:rsidP="009D5944">
      <w:pPr>
        <w:ind w:firstLine="709"/>
        <w:jc w:val="both"/>
      </w:pPr>
    </w:p>
    <w:p w14:paraId="6C407484" w14:textId="77777777" w:rsidR="003E4302" w:rsidRDefault="003E4302" w:rsidP="009D5944">
      <w:pPr>
        <w:ind w:firstLine="709"/>
        <w:jc w:val="both"/>
      </w:pPr>
    </w:p>
    <w:p w14:paraId="7FC2CBDC" w14:textId="77777777" w:rsidR="007907A0" w:rsidRPr="00C51C08" w:rsidRDefault="007907A0" w:rsidP="009D5944">
      <w:pPr>
        <w:autoSpaceDE w:val="0"/>
        <w:autoSpaceDN w:val="0"/>
        <w:adjustRightInd w:val="0"/>
        <w:jc w:val="both"/>
        <w:rPr>
          <w:rFonts w:eastAsiaTheme="majorEastAsia"/>
          <w:b/>
        </w:rPr>
      </w:pPr>
      <w:r>
        <w:rPr>
          <w:b/>
          <w:bCs/>
        </w:rPr>
        <w:t>XI.4</w:t>
      </w:r>
      <w:r w:rsidR="00776AAC">
        <w:rPr>
          <w:b/>
          <w:bCs/>
        </w:rPr>
        <w:t>.3 -</w:t>
      </w:r>
      <w:r w:rsidR="00E01084">
        <w:rPr>
          <w:b/>
          <w:bCs/>
        </w:rPr>
        <w:t xml:space="preserve"> Prospettive future </w:t>
      </w:r>
    </w:p>
    <w:p w14:paraId="6F13A3F1" w14:textId="77777777" w:rsidR="000A0C4B" w:rsidRDefault="000A0C4B" w:rsidP="009D5944">
      <w:pPr>
        <w:jc w:val="both"/>
        <w:rPr>
          <w:b/>
          <w:bCs/>
        </w:rPr>
      </w:pPr>
    </w:p>
    <w:p w14:paraId="5F85397A" w14:textId="77777777" w:rsidR="007907A0" w:rsidRPr="003E4302" w:rsidRDefault="00A76B30" w:rsidP="00A76B30">
      <w:pPr>
        <w:autoSpaceDE w:val="0"/>
        <w:autoSpaceDN w:val="0"/>
        <w:adjustRightInd w:val="0"/>
        <w:jc w:val="both"/>
        <w:rPr>
          <w:b/>
          <w:bCs/>
          <w:spacing w:val="-16"/>
        </w:rPr>
      </w:pPr>
      <w:r w:rsidRPr="003E4302">
        <w:rPr>
          <w:b/>
          <w:bCs/>
          <w:spacing w:val="-16"/>
        </w:rPr>
        <w:t>XI.4.3.1</w:t>
      </w:r>
      <w:r w:rsidR="00776AAC" w:rsidRPr="003E4302">
        <w:rPr>
          <w:b/>
          <w:bCs/>
          <w:spacing w:val="-16"/>
        </w:rPr>
        <w:t xml:space="preserve"> </w:t>
      </w:r>
      <w:r w:rsidR="00AC4293" w:rsidRPr="003E4302">
        <w:rPr>
          <w:b/>
          <w:bCs/>
          <w:spacing w:val="-16"/>
        </w:rPr>
        <w:t xml:space="preserve">- </w:t>
      </w:r>
      <w:r w:rsidR="00AC4293" w:rsidRPr="003E4302">
        <w:rPr>
          <w:rFonts w:eastAsiaTheme="majorEastAsia"/>
          <w:b/>
          <w:spacing w:val="-16"/>
        </w:rPr>
        <w:t>Quadro Finanziario dell’Unione Europea 2021-2027</w:t>
      </w:r>
      <w:r w:rsidR="00776AAC" w:rsidRPr="003E4302">
        <w:rPr>
          <w:b/>
          <w:bCs/>
          <w:spacing w:val="-16"/>
        </w:rPr>
        <w:t xml:space="preserve">- </w:t>
      </w:r>
      <w:proofErr w:type="spellStart"/>
      <w:r w:rsidR="007907A0" w:rsidRPr="003E4302">
        <w:rPr>
          <w:b/>
          <w:bCs/>
          <w:i/>
          <w:spacing w:val="-16"/>
        </w:rPr>
        <w:t>Connecting</w:t>
      </w:r>
      <w:proofErr w:type="spellEnd"/>
      <w:r w:rsidR="007907A0" w:rsidRPr="003E4302">
        <w:rPr>
          <w:b/>
          <w:bCs/>
          <w:i/>
          <w:spacing w:val="-16"/>
        </w:rPr>
        <w:t xml:space="preserve"> Europe Facility</w:t>
      </w:r>
      <w:r w:rsidR="007907A0" w:rsidRPr="003E4302">
        <w:rPr>
          <w:b/>
          <w:bCs/>
          <w:spacing w:val="-16"/>
        </w:rPr>
        <w:t xml:space="preserve"> (CEF) </w:t>
      </w:r>
      <w:r w:rsidRPr="003E4302">
        <w:rPr>
          <w:b/>
          <w:bCs/>
          <w:spacing w:val="-16"/>
        </w:rPr>
        <w:t>2021-2027</w:t>
      </w:r>
    </w:p>
    <w:p w14:paraId="14FAF0F0" w14:textId="77777777" w:rsidR="00776AAC" w:rsidRPr="00F63DA4" w:rsidRDefault="00776AAC" w:rsidP="00A76B30">
      <w:pPr>
        <w:autoSpaceDE w:val="0"/>
        <w:autoSpaceDN w:val="0"/>
        <w:adjustRightInd w:val="0"/>
        <w:jc w:val="both"/>
        <w:rPr>
          <w:b/>
          <w:bCs/>
        </w:rPr>
      </w:pPr>
    </w:p>
    <w:p w14:paraId="79F9E513" w14:textId="77777777" w:rsidR="00177319" w:rsidRDefault="000625CD" w:rsidP="00177319">
      <w:pPr>
        <w:ind w:firstLine="567"/>
        <w:jc w:val="both"/>
        <w:rPr>
          <w:rFonts w:cs="Times New Roman"/>
        </w:rPr>
      </w:pPr>
      <w:r w:rsidRPr="000E573C">
        <w:rPr>
          <w:rFonts w:cs="Times New Roman"/>
        </w:rPr>
        <w:t>Il 2 maggio 201</w:t>
      </w:r>
      <w:r w:rsidR="00A90BB3" w:rsidRPr="000E573C">
        <w:rPr>
          <w:rFonts w:cs="Times New Roman"/>
        </w:rPr>
        <w:t>8</w:t>
      </w:r>
      <w:r w:rsidR="00BA4AE3" w:rsidRPr="000E573C">
        <w:rPr>
          <w:rFonts w:cs="Times New Roman"/>
        </w:rPr>
        <w:t xml:space="preserve"> è stata</w:t>
      </w:r>
      <w:r w:rsidR="00BA4AE3" w:rsidRPr="00177319">
        <w:rPr>
          <w:rFonts w:cs="Times New Roman"/>
        </w:rPr>
        <w:t xml:space="preserve"> pubblicata la proposta relativa al Nuovo Quadro Finanziario Pluriennale (QFP) dell’UE per il periodo 2021</w:t>
      </w:r>
      <w:r w:rsidR="00A90BB3">
        <w:rPr>
          <w:rFonts w:cs="Times New Roman"/>
        </w:rPr>
        <w:t>-</w:t>
      </w:r>
      <w:r w:rsidR="00BA4AE3" w:rsidRPr="00177319">
        <w:rPr>
          <w:rFonts w:cs="Times New Roman"/>
        </w:rPr>
        <w:t xml:space="preserve">2027 che </w:t>
      </w:r>
      <w:r w:rsidR="00177319">
        <w:rPr>
          <w:rFonts w:cs="Times New Roman"/>
        </w:rPr>
        <w:t>prevede un budget</w:t>
      </w:r>
      <w:r w:rsidR="00BA4AE3" w:rsidRPr="00177319">
        <w:rPr>
          <w:rFonts w:cs="Times New Roman"/>
        </w:rPr>
        <w:t xml:space="preserve"> complessivamente </w:t>
      </w:r>
      <w:r w:rsidR="00177319">
        <w:rPr>
          <w:rFonts w:cs="Times New Roman"/>
        </w:rPr>
        <w:t xml:space="preserve">pari </w:t>
      </w:r>
      <w:r w:rsidR="00BA4AE3" w:rsidRPr="00177319">
        <w:rPr>
          <w:rFonts w:cs="Times New Roman"/>
        </w:rPr>
        <w:t xml:space="preserve">a 1.279 miliardi di euro. Nello schema principale del QFP rientra la rubrica di interesse per il settore dei trasporti e delle reti TEN-T denominata </w:t>
      </w:r>
      <w:proofErr w:type="spellStart"/>
      <w:r w:rsidR="00BA4AE3" w:rsidRPr="00A37782">
        <w:rPr>
          <w:rFonts w:cs="Times New Roman"/>
          <w:i/>
        </w:rPr>
        <w:t>Connecting</w:t>
      </w:r>
      <w:proofErr w:type="spellEnd"/>
      <w:r w:rsidR="00BA4AE3" w:rsidRPr="00A37782">
        <w:rPr>
          <w:rFonts w:cs="Times New Roman"/>
          <w:i/>
        </w:rPr>
        <w:t xml:space="preserve"> Europe </w:t>
      </w:r>
      <w:r w:rsidR="00BA4AE3" w:rsidRPr="000E573C">
        <w:rPr>
          <w:rFonts w:cs="Times New Roman"/>
          <w:i/>
        </w:rPr>
        <w:t>Facility</w:t>
      </w:r>
      <w:r w:rsidR="00177319" w:rsidRPr="000E573C">
        <w:rPr>
          <w:rFonts w:cs="Times New Roman"/>
        </w:rPr>
        <w:t xml:space="preserve"> che conferma sostanzialmente, nella sua iniziale proposta, la dotazione finanziaria del CEF</w:t>
      </w:r>
      <w:r w:rsidR="000E7717" w:rsidRPr="000E573C">
        <w:rPr>
          <w:rFonts w:cs="Times New Roman"/>
        </w:rPr>
        <w:t>, pari a circa 12,8</w:t>
      </w:r>
      <w:r w:rsidR="000E573C" w:rsidRPr="00F63DA4">
        <w:rPr>
          <w:rFonts w:cs="Times New Roman"/>
        </w:rPr>
        <w:t>3</w:t>
      </w:r>
      <w:r w:rsidR="000E7717" w:rsidRPr="000E573C">
        <w:rPr>
          <w:rFonts w:cs="Times New Roman"/>
        </w:rPr>
        <w:t xml:space="preserve"> miliardi di euro</w:t>
      </w:r>
      <w:r w:rsidR="000E573C" w:rsidRPr="00F63DA4">
        <w:rPr>
          <w:rFonts w:cs="Times New Roman"/>
        </w:rPr>
        <w:t xml:space="preserve"> (a prezzi correnti)</w:t>
      </w:r>
      <w:r w:rsidR="00177319" w:rsidRPr="000E573C">
        <w:rPr>
          <w:rFonts w:cs="Times New Roman"/>
        </w:rPr>
        <w:t>. Si</w:t>
      </w:r>
      <w:r w:rsidR="00177319">
        <w:rPr>
          <w:rFonts w:cs="Times New Roman"/>
        </w:rPr>
        <w:t xml:space="preserve"> stima che il nuovo regolamento</w:t>
      </w:r>
      <w:r w:rsidR="000E7717">
        <w:rPr>
          <w:rFonts w:cs="Times New Roman"/>
        </w:rPr>
        <w:t xml:space="preserve"> CEF</w:t>
      </w:r>
      <w:r w:rsidR="00177319" w:rsidRPr="00177319">
        <w:rPr>
          <w:rFonts w:cs="Times New Roman"/>
        </w:rPr>
        <w:t xml:space="preserve">, </w:t>
      </w:r>
      <w:r w:rsidR="00E20B47">
        <w:rPr>
          <w:rFonts w:cs="Times New Roman"/>
        </w:rPr>
        <w:t>in attesa del</w:t>
      </w:r>
      <w:r w:rsidR="000E7717">
        <w:rPr>
          <w:rFonts w:cs="Times New Roman"/>
        </w:rPr>
        <w:t xml:space="preserve">la fine del complesso e articolato </w:t>
      </w:r>
      <w:r w:rsidR="00177319">
        <w:rPr>
          <w:rFonts w:cs="Times New Roman"/>
        </w:rPr>
        <w:t xml:space="preserve">negoziato </w:t>
      </w:r>
      <w:r w:rsidR="000E7717">
        <w:rPr>
          <w:rFonts w:cs="Times New Roman"/>
        </w:rPr>
        <w:t>sull’intero bilancio dell’UE,</w:t>
      </w:r>
      <w:r w:rsidR="00177319">
        <w:rPr>
          <w:rFonts w:cs="Times New Roman"/>
        </w:rPr>
        <w:t xml:space="preserve"> verrà adottato </w:t>
      </w:r>
      <w:r w:rsidR="000E7717">
        <w:rPr>
          <w:rFonts w:cs="Times New Roman"/>
        </w:rPr>
        <w:t>entro la fine del 2020</w:t>
      </w:r>
      <w:r w:rsidR="00177319">
        <w:rPr>
          <w:rFonts w:cs="Times New Roman"/>
        </w:rPr>
        <w:t>.</w:t>
      </w:r>
    </w:p>
    <w:p w14:paraId="02D60B75" w14:textId="77777777" w:rsidR="00177319" w:rsidRPr="00177319" w:rsidRDefault="00177319" w:rsidP="00177319">
      <w:pPr>
        <w:ind w:firstLine="567"/>
        <w:jc w:val="both"/>
        <w:rPr>
          <w:rFonts w:cs="Times New Roman"/>
        </w:rPr>
      </w:pPr>
      <w:r w:rsidRPr="004B5C8E">
        <w:rPr>
          <w:rFonts w:cs="Times New Roman"/>
        </w:rPr>
        <w:tab/>
      </w:r>
      <w:r w:rsidR="000E7717">
        <w:rPr>
          <w:rFonts w:cs="Times New Roman"/>
        </w:rPr>
        <w:t>Infatti,</w:t>
      </w:r>
      <w:r w:rsidR="00BA4AE3" w:rsidRPr="004B5C8E">
        <w:rPr>
          <w:rFonts w:cs="Times New Roman"/>
        </w:rPr>
        <w:t xml:space="preserve"> la </w:t>
      </w:r>
      <w:r w:rsidR="000E1C97">
        <w:rPr>
          <w:rFonts w:cs="Times New Roman"/>
        </w:rPr>
        <w:t>Commissione Europea</w:t>
      </w:r>
      <w:r w:rsidR="00BA4AE3" w:rsidRPr="004B5C8E">
        <w:rPr>
          <w:rFonts w:cs="Times New Roman"/>
        </w:rPr>
        <w:t>, ha pubblicato in data 6 giugno 2018, la proposta legislativa che istituisce il meccanismo per collegare l’Europa</w:t>
      </w:r>
      <w:r w:rsidR="00AD3F95">
        <w:rPr>
          <w:rFonts w:cs="Times New Roman"/>
        </w:rPr>
        <w:t xml:space="preserve"> che stabilisc</w:t>
      </w:r>
      <w:r w:rsidR="00BA4AE3" w:rsidRPr="004B5C8E">
        <w:rPr>
          <w:rFonts w:cs="Times New Roman"/>
        </w:rPr>
        <w:t xml:space="preserve">e la base giuridica per il periodo </w:t>
      </w:r>
      <w:r w:rsidRPr="004B5C8E">
        <w:rPr>
          <w:rFonts w:cs="Times New Roman"/>
        </w:rPr>
        <w:t>2021-2027</w:t>
      </w:r>
      <w:r w:rsidR="00AD3F95">
        <w:rPr>
          <w:rFonts w:cs="Times New Roman"/>
        </w:rPr>
        <w:t>,</w:t>
      </w:r>
      <w:r w:rsidR="00BA4AE3" w:rsidRPr="004B5C8E">
        <w:rPr>
          <w:rFonts w:cs="Times New Roman"/>
        </w:rPr>
        <w:t xml:space="preserve"> al fine di proseguire quanto istituito con il Regolamento </w:t>
      </w:r>
      <w:r w:rsidR="00BB60C6">
        <w:rPr>
          <w:rFonts w:cs="Times New Roman"/>
        </w:rPr>
        <w:t>(</w:t>
      </w:r>
      <w:r w:rsidR="00BA4AE3" w:rsidRPr="004B5C8E">
        <w:rPr>
          <w:rFonts w:cs="Times New Roman"/>
        </w:rPr>
        <w:t>UE</w:t>
      </w:r>
      <w:r w:rsidR="00BB60C6">
        <w:rPr>
          <w:rFonts w:cs="Times New Roman"/>
        </w:rPr>
        <w:t>)</w:t>
      </w:r>
      <w:r w:rsidR="00BA4AE3" w:rsidRPr="004B5C8E">
        <w:rPr>
          <w:rFonts w:cs="Times New Roman"/>
        </w:rPr>
        <w:t xml:space="preserve"> </w:t>
      </w:r>
      <w:r w:rsidR="000106F4">
        <w:rPr>
          <w:rFonts w:cs="Times New Roman"/>
        </w:rPr>
        <w:t xml:space="preserve">n. </w:t>
      </w:r>
      <w:r w:rsidR="00BA4AE3" w:rsidRPr="004B5C8E">
        <w:rPr>
          <w:rFonts w:cs="Times New Roman"/>
        </w:rPr>
        <w:t xml:space="preserve">1316/2013 e sostenere gli investimenti nella </w:t>
      </w:r>
      <w:r w:rsidR="00B90D76">
        <w:rPr>
          <w:rFonts w:cs="Times New Roman"/>
        </w:rPr>
        <w:t>Rete Transeuropea</w:t>
      </w:r>
      <w:r w:rsidR="00BA4AE3" w:rsidRPr="004B5C8E">
        <w:rPr>
          <w:rFonts w:cs="Times New Roman"/>
        </w:rPr>
        <w:t xml:space="preserve"> nei settori dei traspor</w:t>
      </w:r>
      <w:r w:rsidR="004B5C8E" w:rsidRPr="004B5C8E">
        <w:rPr>
          <w:rFonts w:cs="Times New Roman"/>
        </w:rPr>
        <w:t>ti, dell’energia e del digitale; in essa si evidenzia</w:t>
      </w:r>
      <w:r w:rsidR="00E20B47">
        <w:rPr>
          <w:rFonts w:cs="Times New Roman"/>
        </w:rPr>
        <w:t>,</w:t>
      </w:r>
      <w:r w:rsidR="004B5C8E" w:rsidRPr="004B5C8E">
        <w:rPr>
          <w:rFonts w:cs="Times New Roman"/>
        </w:rPr>
        <w:t xml:space="preserve"> ad una prima analisi</w:t>
      </w:r>
      <w:r w:rsidR="00E20B47">
        <w:rPr>
          <w:rFonts w:cs="Times New Roman"/>
        </w:rPr>
        <w:t>,</w:t>
      </w:r>
      <w:r w:rsidR="004B5C8E" w:rsidRPr="004B5C8E">
        <w:rPr>
          <w:rFonts w:cs="Times New Roman"/>
        </w:rPr>
        <w:t xml:space="preserve"> un </w:t>
      </w:r>
      <w:r w:rsidRPr="00177319">
        <w:rPr>
          <w:rFonts w:cs="Times New Roman"/>
        </w:rPr>
        <w:t xml:space="preserve">accento </w:t>
      </w:r>
      <w:r w:rsidR="004B5C8E">
        <w:rPr>
          <w:rFonts w:cs="Times New Roman"/>
        </w:rPr>
        <w:t xml:space="preserve">posto verso </w:t>
      </w:r>
      <w:r w:rsidRPr="00177319">
        <w:rPr>
          <w:rFonts w:cs="Times New Roman"/>
        </w:rPr>
        <w:t>le sfide globali della decarbonizzazione, digitalizzazione e sicurezza attraverso schemi più flessibili e procedure</w:t>
      </w:r>
      <w:r>
        <w:rPr>
          <w:rFonts w:cs="Times New Roman"/>
        </w:rPr>
        <w:t xml:space="preserve"> che appaiono</w:t>
      </w:r>
      <w:r w:rsidR="00E20B47">
        <w:rPr>
          <w:rFonts w:cs="Times New Roman"/>
        </w:rPr>
        <w:t xml:space="preserve"> semplificate.</w:t>
      </w:r>
    </w:p>
    <w:p w14:paraId="68823D3A" w14:textId="77777777" w:rsidR="00103F80" w:rsidRDefault="00BA4AE3" w:rsidP="00103F80">
      <w:pPr>
        <w:ind w:firstLine="709"/>
        <w:jc w:val="both"/>
        <w:rPr>
          <w:rFonts w:cs="Times New Roman"/>
        </w:rPr>
      </w:pPr>
      <w:r w:rsidRPr="00EE7D22">
        <w:rPr>
          <w:rFonts w:cs="Times New Roman"/>
        </w:rPr>
        <w:lastRenderedPageBreak/>
        <w:t xml:space="preserve">In sede di Consiglio Trasporti europeo svoltosi il 3 dicembre </w:t>
      </w:r>
      <w:r w:rsidR="002E078C" w:rsidRPr="00EE7D22">
        <w:rPr>
          <w:rFonts w:cs="Times New Roman"/>
        </w:rPr>
        <w:t>2018</w:t>
      </w:r>
      <w:r w:rsidRPr="00EE7D22">
        <w:rPr>
          <w:rFonts w:cs="Times New Roman"/>
        </w:rPr>
        <w:t xml:space="preserve">, si è raggiunto un orientamento generale parziale </w:t>
      </w:r>
      <w:r w:rsidR="00245896" w:rsidRPr="00EE7D22">
        <w:rPr>
          <w:rFonts w:cs="Times New Roman"/>
        </w:rPr>
        <w:t xml:space="preserve">sul testo </w:t>
      </w:r>
      <w:r w:rsidR="00245896" w:rsidRPr="00F63DA4">
        <w:rPr>
          <w:rFonts w:cs="Times New Roman"/>
        </w:rPr>
        <w:t xml:space="preserve">e nel marzo 2019 è stato raggiunto un </w:t>
      </w:r>
      <w:r w:rsidR="000E7717" w:rsidRPr="00F63DA4">
        <w:rPr>
          <w:rFonts w:cs="Times New Roman"/>
        </w:rPr>
        <w:t>consenso politico</w:t>
      </w:r>
      <w:r w:rsidR="00245896" w:rsidRPr="00F63DA4">
        <w:rPr>
          <w:rFonts w:cs="Times New Roman"/>
        </w:rPr>
        <w:t xml:space="preserve"> tra il Consiglio e il Parlamento europeo”, provvisorio e parziale, successivamente adottato in prima lettura dal Parlamento europeo il 17 aprile 2019, lasciando tuttavia in sospeso tre questioni</w:t>
      </w:r>
      <w:r w:rsidR="000E7717">
        <w:rPr>
          <w:rFonts w:cs="Times New Roman"/>
        </w:rPr>
        <w:t xml:space="preserve"> di grande rilievo</w:t>
      </w:r>
      <w:r w:rsidR="00245896" w:rsidRPr="00F63DA4">
        <w:rPr>
          <w:rFonts w:cs="Times New Roman"/>
        </w:rPr>
        <w:t xml:space="preserve"> quali le condizioni di</w:t>
      </w:r>
      <w:r w:rsidR="000E7717">
        <w:rPr>
          <w:rFonts w:cs="Times New Roman"/>
        </w:rPr>
        <w:t xml:space="preserve"> gestione dei fondi</w:t>
      </w:r>
      <w:r w:rsidR="00245896" w:rsidRPr="00F63DA4">
        <w:rPr>
          <w:rFonts w:cs="Times New Roman"/>
        </w:rPr>
        <w:t xml:space="preserve"> coesione, gli effetti della Brexit ma soprattutto la dotazione finanziaria inclusa nel bilancio generale dell'UE</w:t>
      </w:r>
      <w:r w:rsidR="000E7717">
        <w:rPr>
          <w:rFonts w:cs="Times New Roman"/>
        </w:rPr>
        <w:t xml:space="preserve">, da definirsi </w:t>
      </w:r>
      <w:r w:rsidR="00245896" w:rsidRPr="00F63DA4">
        <w:rPr>
          <w:rFonts w:cs="Times New Roman"/>
        </w:rPr>
        <w:t xml:space="preserve"> nelle opportune sedi negoziali.</w:t>
      </w:r>
    </w:p>
    <w:p w14:paraId="6773BCFA" w14:textId="77777777" w:rsidR="00103F80" w:rsidRPr="00F63DA4" w:rsidRDefault="00103F80" w:rsidP="00F63DA4">
      <w:pPr>
        <w:ind w:firstLine="709"/>
        <w:jc w:val="both"/>
        <w:rPr>
          <w:rFonts w:cs="Times New Roman"/>
        </w:rPr>
      </w:pPr>
      <w:r w:rsidRPr="00103F80">
        <w:rPr>
          <w:rFonts w:cs="Times New Roman"/>
        </w:rPr>
        <w:t>Rispetto all’attuale meccanismo per collegare l'Europa, la nuova proposta, seppur</w:t>
      </w:r>
      <w:r>
        <w:rPr>
          <w:rFonts w:cs="Times New Roman"/>
        </w:rPr>
        <w:t xml:space="preserve"> </w:t>
      </w:r>
      <w:r w:rsidRPr="00103F80">
        <w:rPr>
          <w:rFonts w:cs="Times New Roman"/>
        </w:rPr>
        <w:t>non ancora adottata, in linea con gli obiettivi della sostenibilità ambientale,</w:t>
      </w:r>
      <w:r>
        <w:rPr>
          <w:rFonts w:cs="Times New Roman"/>
        </w:rPr>
        <w:t xml:space="preserve"> </w:t>
      </w:r>
      <w:r w:rsidR="00E20B47">
        <w:rPr>
          <w:rFonts w:cs="Times New Roman"/>
        </w:rPr>
        <w:t xml:space="preserve">mira </w:t>
      </w:r>
      <w:r w:rsidRPr="00103F80">
        <w:rPr>
          <w:rFonts w:cs="Times New Roman"/>
        </w:rPr>
        <w:t>ad accelerare la decarbonizzazione e la digitalizzazione attraverso una migliore</w:t>
      </w:r>
      <w:r>
        <w:rPr>
          <w:rFonts w:cs="Times New Roman"/>
        </w:rPr>
        <w:t xml:space="preserve"> </w:t>
      </w:r>
      <w:r w:rsidRPr="00103F80">
        <w:rPr>
          <w:rFonts w:cs="Times New Roman"/>
        </w:rPr>
        <w:t>integrazione dei settori dei trasporti, dell'energia e del digitale e a conseguire</w:t>
      </w:r>
      <w:r>
        <w:rPr>
          <w:rFonts w:cs="Times New Roman"/>
        </w:rPr>
        <w:t xml:space="preserve"> </w:t>
      </w:r>
      <w:r w:rsidRPr="00103F80">
        <w:rPr>
          <w:rFonts w:cs="Times New Roman"/>
        </w:rPr>
        <w:t>gli obiettivi climatici dell'UE destinando il 40% delle risorse a queste misure e lasciando</w:t>
      </w:r>
      <w:r>
        <w:rPr>
          <w:rFonts w:cs="Times New Roman"/>
        </w:rPr>
        <w:t xml:space="preserve"> </w:t>
      </w:r>
      <w:r w:rsidRPr="00103F80">
        <w:rPr>
          <w:rFonts w:cs="Times New Roman"/>
        </w:rPr>
        <w:t>il 60% agli adeguamenti infrastrutturali puri. Ciò trova piena corrispondenza</w:t>
      </w:r>
      <w:r>
        <w:rPr>
          <w:rFonts w:cs="Times New Roman"/>
        </w:rPr>
        <w:t xml:space="preserve"> </w:t>
      </w:r>
      <w:r w:rsidRPr="00103F80">
        <w:rPr>
          <w:rFonts w:cs="Times New Roman"/>
        </w:rPr>
        <w:t>con gli ob</w:t>
      </w:r>
      <w:r>
        <w:rPr>
          <w:rFonts w:cs="Times New Roman"/>
        </w:rPr>
        <w:t xml:space="preserve">iettivi e le priorità nazionali nonché quelli del noto </w:t>
      </w:r>
      <w:r w:rsidRPr="00450E48">
        <w:rPr>
          <w:rFonts w:cs="Times New Roman"/>
          <w:i/>
        </w:rPr>
        <w:t>Green</w:t>
      </w:r>
      <w:r w:rsidR="000C6189">
        <w:rPr>
          <w:rFonts w:cs="Times New Roman"/>
          <w:i/>
        </w:rPr>
        <w:t xml:space="preserve"> </w:t>
      </w:r>
      <w:r w:rsidRPr="00450E48">
        <w:rPr>
          <w:rFonts w:cs="Times New Roman"/>
          <w:i/>
        </w:rPr>
        <w:t>Deal</w:t>
      </w:r>
      <w:r>
        <w:rPr>
          <w:rFonts w:cs="Times New Roman"/>
        </w:rPr>
        <w:t xml:space="preserve"> europeo (si veda </w:t>
      </w:r>
      <w:r w:rsidR="000C6189">
        <w:rPr>
          <w:rFonts w:cs="Times New Roman"/>
        </w:rPr>
        <w:t xml:space="preserve">il </w:t>
      </w:r>
      <w:r>
        <w:rPr>
          <w:rFonts w:cs="Times New Roman"/>
        </w:rPr>
        <w:t xml:space="preserve">box di approfondimento n. 5). La sostenibilità è, infatti, un obiettivo da perseguire </w:t>
      </w:r>
      <w:r w:rsidRPr="00103F80">
        <w:rPr>
          <w:rFonts w:cs="Times New Roman"/>
        </w:rPr>
        <w:t>mediante iniziative rivolte</w:t>
      </w:r>
      <w:r>
        <w:rPr>
          <w:rFonts w:cs="Times New Roman"/>
        </w:rPr>
        <w:t xml:space="preserve"> ad esempio </w:t>
      </w:r>
      <w:r w:rsidRPr="00103F80">
        <w:rPr>
          <w:rFonts w:cs="Times New Roman"/>
        </w:rPr>
        <w:t>all’adozione dei carburanti alternativi per la riduzione delle emissioni gas serra nei</w:t>
      </w:r>
      <w:r>
        <w:rPr>
          <w:rFonts w:cs="Times New Roman"/>
        </w:rPr>
        <w:t xml:space="preserve"> </w:t>
      </w:r>
      <w:r w:rsidRPr="00103F80">
        <w:rPr>
          <w:rFonts w:cs="Times New Roman"/>
        </w:rPr>
        <w:t xml:space="preserve">diversi settori del trasporto, ivi incluse le soluzioni di cosiddetto </w:t>
      </w:r>
      <w:proofErr w:type="spellStart"/>
      <w:r w:rsidRPr="00450E48">
        <w:rPr>
          <w:rFonts w:cs="Times New Roman"/>
          <w:i/>
        </w:rPr>
        <w:t>cold-ironing</w:t>
      </w:r>
      <w:proofErr w:type="spellEnd"/>
      <w:r w:rsidRPr="00103F80">
        <w:rPr>
          <w:rFonts w:cs="Times New Roman"/>
        </w:rPr>
        <w:t xml:space="preserve"> per</w:t>
      </w:r>
      <w:r>
        <w:rPr>
          <w:rFonts w:cs="Times New Roman"/>
        </w:rPr>
        <w:t xml:space="preserve"> </w:t>
      </w:r>
      <w:r w:rsidRPr="00103F80">
        <w:rPr>
          <w:rFonts w:cs="Times New Roman"/>
        </w:rPr>
        <w:t>l’elettrificazione delle banchine nei porti.</w:t>
      </w:r>
    </w:p>
    <w:p w14:paraId="5E25AAAB" w14:textId="77777777" w:rsidR="000E7717" w:rsidRPr="000E7717" w:rsidRDefault="000E7717" w:rsidP="00F63DA4">
      <w:pPr>
        <w:ind w:firstLine="709"/>
        <w:jc w:val="both"/>
        <w:rPr>
          <w:rFonts w:cs="Times New Roman"/>
        </w:rPr>
      </w:pPr>
      <w:r w:rsidRPr="00F63DA4">
        <w:rPr>
          <w:rFonts w:cs="Times New Roman"/>
        </w:rPr>
        <w:t>Se la proposta dovesse mantenersi inalterata da un punto di vista tecnico, t</w:t>
      </w:r>
      <w:r w:rsidR="00245896" w:rsidRPr="00F63DA4">
        <w:rPr>
          <w:rFonts w:cs="Times New Roman"/>
        </w:rPr>
        <w:t>ra gli elementi di novità di maggiore rilevanza emerge che per quanto attiene alle percentuali massime di cofinanziamento</w:t>
      </w:r>
      <w:r w:rsidRPr="00F63DA4">
        <w:rPr>
          <w:rFonts w:cs="Times New Roman"/>
        </w:rPr>
        <w:t xml:space="preserve">, i  tassi di </w:t>
      </w:r>
      <w:r w:rsidR="00245896" w:rsidRPr="00F63DA4">
        <w:rPr>
          <w:rFonts w:cs="Times New Roman"/>
        </w:rPr>
        <w:t>co-finanziament</w:t>
      </w:r>
      <w:r w:rsidRPr="00F63DA4">
        <w:rPr>
          <w:rFonts w:cs="Times New Roman"/>
        </w:rPr>
        <w:t>o per</w:t>
      </w:r>
      <w:r w:rsidR="00245896" w:rsidRPr="00F63DA4">
        <w:rPr>
          <w:rFonts w:cs="Times New Roman"/>
        </w:rPr>
        <w:t xml:space="preserve"> infrastruttu</w:t>
      </w:r>
      <w:r w:rsidRPr="00F63DA4">
        <w:rPr>
          <w:rFonts w:cs="Times New Roman"/>
        </w:rPr>
        <w:t xml:space="preserve">re </w:t>
      </w:r>
      <w:r w:rsidR="00245896" w:rsidRPr="00F63DA4">
        <w:rPr>
          <w:rFonts w:cs="Times New Roman"/>
        </w:rPr>
        <w:t>attualmente fissati fino al 10% e 20% (ferrovie e reti stradali, vie navigabili interne, piattaforme logistiche e multimodali, riduzione rumore ferroviario)</w:t>
      </w:r>
      <w:r w:rsidRPr="00F63DA4">
        <w:rPr>
          <w:rFonts w:cs="Times New Roman"/>
        </w:rPr>
        <w:t xml:space="preserve"> sono potenzialmente incrementabili sino al 30%; </w:t>
      </w:r>
      <w:r w:rsidR="00245896" w:rsidRPr="00F63DA4">
        <w:rPr>
          <w:rFonts w:cs="Times New Roman"/>
        </w:rPr>
        <w:t>sono</w:t>
      </w:r>
      <w:r w:rsidRPr="00F63DA4">
        <w:rPr>
          <w:rFonts w:cs="Times New Roman"/>
        </w:rPr>
        <w:t>, invece,</w:t>
      </w:r>
      <w:r w:rsidR="00245896" w:rsidRPr="00F63DA4">
        <w:rPr>
          <w:rFonts w:cs="Times New Roman"/>
        </w:rPr>
        <w:t xml:space="preserve"> rimasti invariati, ovvero fino al 30%, i finanziamenti per gli interventi relativi alla rimozione dei colli di bottiglia, ai collegamenti mancanti nella rete, al miglioramento dell’accessibilità alle persone con disabilità e alle Autostrade del Mare. S</w:t>
      </w:r>
      <w:r w:rsidRPr="00F63DA4">
        <w:rPr>
          <w:rFonts w:cs="Times New Roman"/>
        </w:rPr>
        <w:t>i sono innalzati</w:t>
      </w:r>
      <w:r w:rsidR="00245896" w:rsidRPr="00F63DA4">
        <w:rPr>
          <w:rFonts w:cs="Times New Roman"/>
        </w:rPr>
        <w:t xml:space="preserve">, inoltre, dal 40% fino al 50% i co-finanziamenti </w:t>
      </w:r>
      <w:r w:rsidRPr="00F63DA4">
        <w:rPr>
          <w:rFonts w:cs="Times New Roman"/>
        </w:rPr>
        <w:t xml:space="preserve">massimi per i </w:t>
      </w:r>
      <w:r w:rsidR="00245896" w:rsidRPr="00F63DA4">
        <w:rPr>
          <w:rFonts w:cs="Times New Roman"/>
        </w:rPr>
        <w:t>collegamenti transfrontalieri e dal 20/30% fino al 50% quelli per le tratte di accesso dei progetti del tunnel del Brennero e della nuova linea ferroviaria Torino Lione; sono saliti</w:t>
      </w:r>
      <w:r w:rsidRPr="00F63DA4">
        <w:rPr>
          <w:rFonts w:cs="Times New Roman"/>
        </w:rPr>
        <w:t xml:space="preserve">, inoltre, </w:t>
      </w:r>
      <w:r w:rsidR="00245896" w:rsidRPr="00F63DA4">
        <w:rPr>
          <w:rFonts w:cs="Times New Roman"/>
        </w:rPr>
        <w:t xml:space="preserve">fino al 50% i contributi </w:t>
      </w:r>
      <w:r w:rsidRPr="00F63DA4">
        <w:rPr>
          <w:rFonts w:cs="Times New Roman"/>
        </w:rPr>
        <w:t xml:space="preserve">massimi </w:t>
      </w:r>
      <w:r w:rsidR="00245896" w:rsidRPr="00F63DA4">
        <w:rPr>
          <w:rFonts w:cs="Times New Roman"/>
        </w:rPr>
        <w:t>rivolti a tutte le applicazioni telematiche, ai progetti di innovazione tecnologica e di incremento della sicurezza, nonché per quelli relativi alle vie navigabili interne ed all’adattamento delle infrastrutture da trasporto alle frontiere esterne della UE a fini doganali.</w:t>
      </w:r>
    </w:p>
    <w:p w14:paraId="661158E1" w14:textId="77777777" w:rsidR="00245896" w:rsidRPr="00F63DA4" w:rsidRDefault="000E7717" w:rsidP="00F63DA4">
      <w:pPr>
        <w:ind w:firstLine="709"/>
        <w:jc w:val="both"/>
        <w:rPr>
          <w:rFonts w:cs="Times New Roman"/>
        </w:rPr>
      </w:pPr>
      <w:r w:rsidRPr="00F63DA4">
        <w:rPr>
          <w:rFonts w:cs="Times New Roman"/>
        </w:rPr>
        <w:t>Quale</w:t>
      </w:r>
      <w:r w:rsidR="00245896" w:rsidRPr="00F63DA4">
        <w:rPr>
          <w:rFonts w:cs="Times New Roman"/>
        </w:rPr>
        <w:t xml:space="preserve"> novità introdotta dal negoziato con il Parlamento</w:t>
      </w:r>
      <w:r w:rsidR="00751264">
        <w:rPr>
          <w:rFonts w:cs="Times New Roman"/>
        </w:rPr>
        <w:t>,</w:t>
      </w:r>
      <w:r w:rsidR="00245896" w:rsidRPr="00F63DA4">
        <w:rPr>
          <w:rFonts w:cs="Times New Roman"/>
        </w:rPr>
        <w:t xml:space="preserve"> si prevede l’incremento del tasso di co-finanziamento di un ulteriore 5% sulle tratte transfrontaliere, fino quindi ad un massimo del 55%, in caso di progetti attuati da strutture a gestione integrata, ivi comprese le Joint Venture, al fine di garantire un alto grado di integrazione sia nella pianificazione che nell’attuazione dei progetti. Per le sinergie tra i tre settori, trasporti, digitale ed energia, è previsto un ulteriore top up del 10%.</w:t>
      </w:r>
      <w:r w:rsidR="00751264">
        <w:rPr>
          <w:rFonts w:cs="Times New Roman"/>
        </w:rPr>
        <w:t xml:space="preserve"> </w:t>
      </w:r>
      <w:r w:rsidR="00103F80" w:rsidRPr="00103F80">
        <w:rPr>
          <w:rFonts w:cs="Times New Roman"/>
        </w:rPr>
        <w:t>Ovviamente, l’applicazione di tali percentuali massime sarà modulata sulla</w:t>
      </w:r>
      <w:r w:rsidR="00103F80">
        <w:rPr>
          <w:rFonts w:cs="Times New Roman"/>
        </w:rPr>
        <w:t xml:space="preserve"> </w:t>
      </w:r>
      <w:r w:rsidR="00103F80" w:rsidRPr="00103F80">
        <w:rPr>
          <w:rFonts w:cs="Times New Roman"/>
        </w:rPr>
        <w:t>base del numero di progetti che verranno presentati e delle risorse disponibili.</w:t>
      </w:r>
    </w:p>
    <w:p w14:paraId="428BAC1F" w14:textId="77777777" w:rsidR="00245896" w:rsidRDefault="000E7717" w:rsidP="00F63DA4">
      <w:pPr>
        <w:ind w:firstLine="709"/>
        <w:jc w:val="both"/>
        <w:rPr>
          <w:rFonts w:cs="Times New Roman"/>
        </w:rPr>
      </w:pPr>
      <w:r w:rsidRPr="00F63DA4">
        <w:rPr>
          <w:rFonts w:cs="Times New Roman"/>
        </w:rPr>
        <w:t xml:space="preserve">In aggiunta, un </w:t>
      </w:r>
      <w:r w:rsidR="00245896" w:rsidRPr="00F63DA4">
        <w:rPr>
          <w:rFonts w:cs="Times New Roman"/>
        </w:rPr>
        <w:t xml:space="preserve">importante emendamento, fortemente promosso dall’Italia, ha permesso di rendere eleggibili le azioni volte ad accrescere la resilienza delle infrastrutture di trasporto </w:t>
      </w:r>
      <w:r w:rsidRPr="00F63DA4">
        <w:rPr>
          <w:rFonts w:cs="Times New Roman"/>
        </w:rPr>
        <w:t>intesa oltre i</w:t>
      </w:r>
      <w:r w:rsidR="00245896" w:rsidRPr="00F63DA4">
        <w:rPr>
          <w:rFonts w:cs="Times New Roman"/>
        </w:rPr>
        <w:t>l concetto di resilienza legata solo al cambiamento climatico e ai disastri naturali</w:t>
      </w:r>
      <w:r w:rsidRPr="00F63DA4">
        <w:rPr>
          <w:rFonts w:cs="Times New Roman"/>
        </w:rPr>
        <w:t>,</w:t>
      </w:r>
      <w:r w:rsidR="00245896" w:rsidRPr="00F63DA4">
        <w:rPr>
          <w:rFonts w:cs="Times New Roman"/>
        </w:rPr>
        <w:t xml:space="preserve"> al fine di dare massima priorità all'inclusione di co-finanziamenti, soprattutto a fondo perduto, volti a programmi di spesa per sicurezza, messa in sicurezza, monitoraggio e manutenzione (straordinaria) delle reti infrastrutturali</w:t>
      </w:r>
      <w:r w:rsidR="00245896" w:rsidRPr="000E7717">
        <w:rPr>
          <w:rFonts w:cs="Times New Roman"/>
        </w:rPr>
        <w:t>.</w:t>
      </w:r>
    </w:p>
    <w:p w14:paraId="0356E8D3" w14:textId="77777777" w:rsidR="008B5F14" w:rsidRDefault="00BA4AE3" w:rsidP="00F63DA4">
      <w:pPr>
        <w:jc w:val="both"/>
        <w:rPr>
          <w:sz w:val="22"/>
          <w:szCs w:val="22"/>
        </w:rPr>
      </w:pPr>
      <w:proofErr w:type="gramStart"/>
      <w:r w:rsidRPr="004B5C8E">
        <w:t>Infine</w:t>
      </w:r>
      <w:proofErr w:type="gramEnd"/>
      <w:r w:rsidRPr="004B5C8E">
        <w:t xml:space="preserve"> sono stat</w:t>
      </w:r>
      <w:r w:rsidR="004B5C8E">
        <w:t>e</w:t>
      </w:r>
      <w:r w:rsidRPr="004B5C8E">
        <w:t xml:space="preserve"> recepite </w:t>
      </w:r>
      <w:r w:rsidR="00177E90">
        <w:t>alcune</w:t>
      </w:r>
      <w:r w:rsidRPr="004B5C8E">
        <w:t xml:space="preserve"> modifiche all'allineamento dei Corridoi che interessano l’Italia anche ai fini</w:t>
      </w:r>
      <w:r w:rsidR="004B5C8E">
        <w:t xml:space="preserve"> di potenziali co-finanziamenti </w:t>
      </w:r>
      <w:r w:rsidR="00177E90">
        <w:t xml:space="preserve">(si veda la </w:t>
      </w:r>
      <w:r w:rsidR="004B5C8E">
        <w:t xml:space="preserve">sezione </w:t>
      </w:r>
      <w:r w:rsidR="00177E90" w:rsidRPr="00F63DA4">
        <w:rPr>
          <w:bCs/>
        </w:rPr>
        <w:t>XI.2 sui Corridoi della rete centrale)</w:t>
      </w:r>
      <w:r w:rsidR="00177E90">
        <w:rPr>
          <w:bCs/>
        </w:rPr>
        <w:t>,</w:t>
      </w:r>
      <w:r w:rsidR="00177E90">
        <w:t xml:space="preserve"> </w:t>
      </w:r>
      <w:r w:rsidR="004B5C8E">
        <w:t xml:space="preserve">mentre </w:t>
      </w:r>
      <w:r w:rsidR="00DA61C0">
        <w:t xml:space="preserve">tra le sezioni </w:t>
      </w:r>
      <w:r w:rsidR="00DA61C0" w:rsidRPr="00245896">
        <w:rPr>
          <w:i/>
        </w:rPr>
        <w:t>C</w:t>
      </w:r>
      <w:r w:rsidRPr="00245896">
        <w:rPr>
          <w:i/>
        </w:rPr>
        <w:t>omprehensive</w:t>
      </w:r>
      <w:r w:rsidRPr="004B5C8E">
        <w:t xml:space="preserve"> transfrontaliere si riscontra l’inserimento della sezione ferroviaria transfrontaliera “Luino-Sesto Calende” (IT-CH).</w:t>
      </w:r>
      <w:r w:rsidRPr="00245896">
        <w:rPr>
          <w:sz w:val="22"/>
          <w:szCs w:val="22"/>
        </w:rPr>
        <w:t xml:space="preserve"> </w:t>
      </w:r>
    </w:p>
    <w:p w14:paraId="382E85AC" w14:textId="77777777" w:rsidR="00175109" w:rsidRDefault="00175109" w:rsidP="00F63DA4">
      <w:pPr>
        <w:jc w:val="both"/>
        <w:rPr>
          <w:sz w:val="22"/>
          <w:szCs w:val="22"/>
        </w:rPr>
      </w:pPr>
    </w:p>
    <w:p w14:paraId="6BCAF8F7" w14:textId="77777777" w:rsidR="00EB5108" w:rsidRPr="007B65D7" w:rsidRDefault="00EB5108" w:rsidP="007B65D7">
      <w:pPr>
        <w:pBdr>
          <w:top w:val="single" w:sz="4" w:space="1" w:color="auto"/>
          <w:left w:val="single" w:sz="4" w:space="1" w:color="auto"/>
          <w:bottom w:val="single" w:sz="4" w:space="1" w:color="auto"/>
          <w:right w:val="single" w:sz="4" w:space="1" w:color="auto"/>
        </w:pBdr>
        <w:spacing w:after="120"/>
        <w:jc w:val="both"/>
        <w:rPr>
          <w:b/>
          <w:bCs/>
          <w:sz w:val="22"/>
          <w:szCs w:val="22"/>
        </w:rPr>
      </w:pPr>
      <w:r w:rsidRPr="007B65D7">
        <w:rPr>
          <w:b/>
          <w:bCs/>
          <w:sz w:val="22"/>
          <w:szCs w:val="22"/>
        </w:rPr>
        <w:t xml:space="preserve">Box di approfondimento n. </w:t>
      </w:r>
      <w:r w:rsidR="00710BA4">
        <w:rPr>
          <w:b/>
          <w:bCs/>
          <w:sz w:val="22"/>
          <w:szCs w:val="22"/>
        </w:rPr>
        <w:t xml:space="preserve">5 </w:t>
      </w:r>
      <w:proofErr w:type="gramStart"/>
      <w:r w:rsidR="00710BA4">
        <w:rPr>
          <w:b/>
          <w:bCs/>
          <w:sz w:val="22"/>
          <w:szCs w:val="22"/>
        </w:rPr>
        <w:t>-</w:t>
      </w:r>
      <w:r w:rsidR="000C6189">
        <w:rPr>
          <w:b/>
          <w:bCs/>
          <w:sz w:val="22"/>
          <w:szCs w:val="22"/>
        </w:rPr>
        <w:t xml:space="preserve"> </w:t>
      </w:r>
      <w:r w:rsidR="007B65D7" w:rsidRPr="007B65D7">
        <w:rPr>
          <w:b/>
          <w:bCs/>
          <w:sz w:val="22"/>
          <w:szCs w:val="22"/>
        </w:rPr>
        <w:t xml:space="preserve"> “</w:t>
      </w:r>
      <w:proofErr w:type="gramEnd"/>
      <w:r w:rsidR="000C6189">
        <w:rPr>
          <w:b/>
          <w:bCs/>
          <w:sz w:val="22"/>
          <w:szCs w:val="22"/>
        </w:rPr>
        <w:t xml:space="preserve">Il </w:t>
      </w:r>
      <w:r w:rsidRPr="00450E48">
        <w:rPr>
          <w:b/>
          <w:bCs/>
          <w:i/>
          <w:sz w:val="22"/>
          <w:szCs w:val="22"/>
        </w:rPr>
        <w:t>Green Deal</w:t>
      </w:r>
      <w:r w:rsidR="00706961">
        <w:rPr>
          <w:b/>
          <w:bCs/>
          <w:i/>
          <w:sz w:val="22"/>
          <w:szCs w:val="22"/>
        </w:rPr>
        <w:t xml:space="preserve"> </w:t>
      </w:r>
      <w:r w:rsidR="00706961" w:rsidRPr="00450E48">
        <w:rPr>
          <w:b/>
          <w:bCs/>
          <w:sz w:val="22"/>
          <w:szCs w:val="22"/>
        </w:rPr>
        <w:t>europeo</w:t>
      </w:r>
      <w:r w:rsidR="007B65D7" w:rsidRPr="007B65D7">
        <w:rPr>
          <w:b/>
          <w:bCs/>
          <w:sz w:val="22"/>
          <w:szCs w:val="22"/>
        </w:rPr>
        <w:t>”</w:t>
      </w:r>
    </w:p>
    <w:p w14:paraId="64BE01A2" w14:textId="77777777" w:rsidR="00706961" w:rsidRPr="00F63DA4" w:rsidRDefault="00706961" w:rsidP="00706961">
      <w:pPr>
        <w:pBdr>
          <w:top w:val="single" w:sz="4" w:space="1" w:color="auto"/>
          <w:left w:val="single" w:sz="4" w:space="1" w:color="auto"/>
          <w:bottom w:val="single" w:sz="4" w:space="1" w:color="auto"/>
          <w:right w:val="single" w:sz="4" w:space="1" w:color="auto"/>
        </w:pBdr>
        <w:jc w:val="both"/>
        <w:rPr>
          <w:bCs/>
          <w:sz w:val="22"/>
          <w:szCs w:val="22"/>
        </w:rPr>
      </w:pPr>
      <w:r w:rsidRPr="00F63DA4">
        <w:rPr>
          <w:bCs/>
          <w:sz w:val="22"/>
          <w:szCs w:val="22"/>
        </w:rPr>
        <w:t xml:space="preserve">Il </w:t>
      </w:r>
      <w:r w:rsidRPr="00450E48">
        <w:rPr>
          <w:bCs/>
          <w:i/>
          <w:sz w:val="22"/>
          <w:szCs w:val="22"/>
        </w:rPr>
        <w:t>Green Deal</w:t>
      </w:r>
      <w:r w:rsidRPr="00F63DA4">
        <w:rPr>
          <w:bCs/>
          <w:sz w:val="22"/>
          <w:szCs w:val="22"/>
        </w:rPr>
        <w:t xml:space="preserve"> rappresenta una nuova ambiziosa strategia di crescita mirata a trasformare l’Unione europea in una società giusta e prospera, dotata di un’economia moderna, efficiente sotto il profilo delle risorse e competitiva che nel 2050 non genererà emissioni nette di gas a effetto serra e in cui la crescita economica sarà dissociata dall’uso delle risorse. </w:t>
      </w:r>
      <w:r w:rsidRPr="00D10197">
        <w:rPr>
          <w:bCs/>
          <w:sz w:val="22"/>
          <w:szCs w:val="22"/>
        </w:rPr>
        <w:t xml:space="preserve">Di fatto il </w:t>
      </w:r>
      <w:r w:rsidRPr="00450E48">
        <w:rPr>
          <w:bCs/>
          <w:i/>
          <w:sz w:val="22"/>
          <w:szCs w:val="22"/>
        </w:rPr>
        <w:t>Green Deal</w:t>
      </w:r>
      <w:r w:rsidRPr="00D10197">
        <w:rPr>
          <w:bCs/>
          <w:sz w:val="22"/>
          <w:szCs w:val="22"/>
        </w:rPr>
        <w:t xml:space="preserve"> si configura come parte integrante della strategia della Commissione per attuare l’Agenda 2030 e gli obiettivi di sviluppo sostenibile delle Nazioni Unite, al fine di porre la sostenibilità e il benessere dei cittadini al centro della politica economica e rendere gli obiettivi di sviluppo sostenibile il fulcro della definizione delle politiche e degli interventi dell’UE.</w:t>
      </w:r>
      <w:r>
        <w:rPr>
          <w:bCs/>
          <w:sz w:val="22"/>
          <w:szCs w:val="22"/>
        </w:rPr>
        <w:t xml:space="preserve"> </w:t>
      </w:r>
      <w:r w:rsidRPr="00F63DA4">
        <w:rPr>
          <w:bCs/>
          <w:sz w:val="22"/>
          <w:szCs w:val="22"/>
        </w:rPr>
        <w:t xml:space="preserve">Per realizzare il </w:t>
      </w:r>
      <w:r w:rsidRPr="00450E48">
        <w:rPr>
          <w:bCs/>
          <w:i/>
          <w:sz w:val="22"/>
          <w:szCs w:val="22"/>
        </w:rPr>
        <w:t>Green Deal</w:t>
      </w:r>
      <w:r w:rsidRPr="00F63DA4">
        <w:rPr>
          <w:bCs/>
          <w:sz w:val="22"/>
          <w:szCs w:val="22"/>
        </w:rPr>
        <w:t xml:space="preserve"> europeo sarà necessario, pertanto, </w:t>
      </w:r>
      <w:r>
        <w:rPr>
          <w:bCs/>
          <w:sz w:val="22"/>
          <w:szCs w:val="22"/>
        </w:rPr>
        <w:t xml:space="preserve">non solo non prescindere dal contributo di tutti i Paesi ma anche </w:t>
      </w:r>
      <w:r w:rsidRPr="00F63DA4">
        <w:rPr>
          <w:bCs/>
          <w:sz w:val="22"/>
          <w:szCs w:val="22"/>
        </w:rPr>
        <w:t xml:space="preserve">ripensare le politiche per l’approvvigionamento di energia pulita in tutti i settori dell'economia, fortemente interconnessi e che necessitano altresì di particolare attenzione in termini di potenziali compromessi tra gli obiettivi di tipo economico, ambientale e sociale. Per conseguire questi obiettivi, il </w:t>
      </w:r>
      <w:r w:rsidRPr="00450E48">
        <w:rPr>
          <w:bCs/>
          <w:i/>
          <w:sz w:val="22"/>
          <w:szCs w:val="22"/>
        </w:rPr>
        <w:t>Green Deal</w:t>
      </w:r>
      <w:r w:rsidRPr="00F63DA4">
        <w:rPr>
          <w:bCs/>
          <w:sz w:val="22"/>
          <w:szCs w:val="22"/>
        </w:rPr>
        <w:t xml:space="preserve"> farà un uso coerente di tutte le leve e gli strumenti disponibili: regolamentazione e normazione, efficace attuazione ed applicazione della legislazione e delle politiche attuali, investimenti e innovazione, riforme nazionali, dialogo con le parti sociali e cooperazione internazionale. Per quanto </w:t>
      </w:r>
      <w:r w:rsidRPr="00F63DA4">
        <w:rPr>
          <w:bCs/>
          <w:sz w:val="22"/>
          <w:szCs w:val="22"/>
        </w:rPr>
        <w:lastRenderedPageBreak/>
        <w:t xml:space="preserve">concerne in particolare il settore trasporti, le cui emissioni rappresentano un quarto delle emissioni ad effetto serra dell’Unione europea e che presentano un impatto in continua crescita, è prevista una riduzione delle emissioni prodotte dal settore del 90% entro il 2050, obiettivo cui dovranno concorrere tutte le modalità di trasporto. Nel 2020 la Commissione adotterà una strategia per una mobilità intelligente e sostenibile che affronterà questa sfida, senza trascurare alcuna fonte di emissione. Un ruolo sempre più importante verrà svolto dalla mobilità multimodale automatizzata e connessa, dallo </w:t>
      </w:r>
      <w:r w:rsidRPr="00450E48">
        <w:rPr>
          <w:bCs/>
          <w:i/>
          <w:sz w:val="22"/>
          <w:szCs w:val="22"/>
        </w:rPr>
        <w:t>shift</w:t>
      </w:r>
      <w:r w:rsidRPr="00F63DA4">
        <w:rPr>
          <w:bCs/>
          <w:sz w:val="22"/>
          <w:szCs w:val="22"/>
        </w:rPr>
        <w:t xml:space="preserve"> modale e </w:t>
      </w:r>
      <w:r>
        <w:rPr>
          <w:bCs/>
          <w:sz w:val="22"/>
          <w:szCs w:val="22"/>
        </w:rPr>
        <w:t>dalla transizione verso l’energia pulita.</w:t>
      </w:r>
      <w:r w:rsidRPr="00F63DA4">
        <w:rPr>
          <w:bCs/>
          <w:sz w:val="22"/>
          <w:szCs w:val="22"/>
        </w:rPr>
        <w:t xml:space="preserve"> Per quanto riguarda gli aspetti finanziari, il fabbisogno previsto per raggiungere gli obiettivi climatici è individuato in circa 260 miliardi di euro all’anno ed il piano proposto dalla Commissione ha l’obiettivo di mobilitare in 10 anni 1000 miliardi di euro, dei quali poco più della metà riconducibili al bilancio UE. Le risorse restanti proverranno per circa 280 miliardi di euro da fondi pubblici/privati mobilitati nell’ambito del programma</w:t>
      </w:r>
      <w:r w:rsidRPr="00450E48">
        <w:rPr>
          <w:bCs/>
          <w:i/>
          <w:sz w:val="22"/>
          <w:szCs w:val="22"/>
        </w:rPr>
        <w:t xml:space="preserve"> </w:t>
      </w:r>
      <w:proofErr w:type="spellStart"/>
      <w:r w:rsidRPr="00450E48">
        <w:rPr>
          <w:bCs/>
          <w:i/>
          <w:sz w:val="22"/>
          <w:szCs w:val="22"/>
        </w:rPr>
        <w:t>InvestEU</w:t>
      </w:r>
      <w:proofErr w:type="spellEnd"/>
      <w:r w:rsidRPr="00F63DA4">
        <w:rPr>
          <w:bCs/>
          <w:sz w:val="22"/>
          <w:szCs w:val="22"/>
        </w:rPr>
        <w:t xml:space="preserve">, per circa 114 miliardi di euro da cofinanziamento nazionale e ulteriori circa 25 miliardi di euro dai proventi </w:t>
      </w:r>
      <w:r w:rsidRPr="00F63DA4">
        <w:rPr>
          <w:bCs/>
          <w:i/>
          <w:sz w:val="22"/>
          <w:szCs w:val="22"/>
        </w:rPr>
        <w:t>dell’</w:t>
      </w:r>
      <w:proofErr w:type="spellStart"/>
      <w:r w:rsidRPr="00F63DA4">
        <w:rPr>
          <w:bCs/>
          <w:i/>
          <w:sz w:val="22"/>
          <w:szCs w:val="22"/>
        </w:rPr>
        <w:t>Emission</w:t>
      </w:r>
      <w:proofErr w:type="spellEnd"/>
      <w:r w:rsidRPr="00F63DA4">
        <w:rPr>
          <w:bCs/>
          <w:i/>
          <w:sz w:val="22"/>
          <w:szCs w:val="22"/>
        </w:rPr>
        <w:t xml:space="preserve"> Trading </w:t>
      </w:r>
      <w:proofErr w:type="spellStart"/>
      <w:r w:rsidRPr="00F63DA4">
        <w:rPr>
          <w:bCs/>
          <w:i/>
          <w:sz w:val="22"/>
          <w:szCs w:val="22"/>
        </w:rPr>
        <w:t>Scheme</w:t>
      </w:r>
      <w:proofErr w:type="spellEnd"/>
      <w:r w:rsidRPr="00F63DA4">
        <w:rPr>
          <w:bCs/>
          <w:sz w:val="22"/>
          <w:szCs w:val="22"/>
        </w:rPr>
        <w:t xml:space="preserve"> (ETS) ovvero il Sistema europeo di scambio di quote di emissione di gas a effetto serra, adottato dall’Unione europea per raggiungere gli obiettivi di riduzione della CO2 nei principali settori industriali e nel comparto dell’aviazione.</w:t>
      </w:r>
    </w:p>
    <w:p w14:paraId="68517EE3" w14:textId="77777777" w:rsidR="00EB5108" w:rsidRPr="00A75050" w:rsidRDefault="00EB5108" w:rsidP="00EB5108">
      <w:pPr>
        <w:rPr>
          <w:b/>
          <w:bCs/>
          <w:lang w:val="fr-FR"/>
        </w:rPr>
      </w:pPr>
    </w:p>
    <w:p w14:paraId="197DBEE8" w14:textId="77777777" w:rsidR="00A65C56" w:rsidRDefault="008B5F14">
      <w:pPr>
        <w:pStyle w:val="Paragrafoelenco"/>
        <w:ind w:left="0" w:firstLine="709"/>
      </w:pPr>
      <w:r>
        <w:t>Un</w:t>
      </w:r>
      <w:r w:rsidR="00177E90">
        <w:t>’ulteriore</w:t>
      </w:r>
      <w:r>
        <w:t xml:space="preserve"> novità assoluta introdotta dal CEF 2.0 è la rubrica sulla </w:t>
      </w:r>
      <w:r w:rsidR="00177E90">
        <w:t>M</w:t>
      </w:r>
      <w:r>
        <w:t xml:space="preserve">obilità </w:t>
      </w:r>
      <w:r w:rsidR="00177E90">
        <w:t>M</w:t>
      </w:r>
      <w:r>
        <w:t xml:space="preserve">ilitare che prevede il finanziamento dell’adeguamento delle </w:t>
      </w:r>
      <w:r w:rsidR="00D307B4">
        <w:t>Reti Transeuropee</w:t>
      </w:r>
      <w:r>
        <w:t xml:space="preserve"> ai requisiti della mobilità militare, con una dotazione </w:t>
      </w:r>
      <w:r w:rsidR="00177E90">
        <w:t xml:space="preserve">originaria fissata </w:t>
      </w:r>
      <w:r w:rsidR="00A37782">
        <w:t>a 6,5 miliardi</w:t>
      </w:r>
      <w:r>
        <w:t xml:space="preserve"> di </w:t>
      </w:r>
      <w:r w:rsidRPr="00EE7D22">
        <w:t>euro</w:t>
      </w:r>
      <w:r w:rsidR="0022607F" w:rsidRPr="00EE7D22">
        <w:t xml:space="preserve"> (</w:t>
      </w:r>
      <w:r w:rsidR="00177E90" w:rsidRPr="00EE7D22">
        <w:t>seppur all</w:t>
      </w:r>
      <w:r w:rsidR="00245896" w:rsidRPr="00F63DA4">
        <w:t>o stato attuale del negoziato</w:t>
      </w:r>
      <w:r w:rsidR="00177E90" w:rsidRPr="00F63DA4">
        <w:t xml:space="preserve"> essa appare</w:t>
      </w:r>
      <w:r w:rsidR="00245896" w:rsidRPr="00F63DA4">
        <w:t xml:space="preserve"> ridotta </w:t>
      </w:r>
      <w:r w:rsidR="00EE7D22">
        <w:t xml:space="preserve">almeno del </w:t>
      </w:r>
      <w:r w:rsidR="00EE7D22" w:rsidRPr="00EE7D22">
        <w:t>7</w:t>
      </w:r>
      <w:r w:rsidR="00EE7D22">
        <w:t>4</w:t>
      </w:r>
      <w:r w:rsidR="00245896" w:rsidRPr="00F63DA4">
        <w:t>%</w:t>
      </w:r>
      <w:r w:rsidR="0022607F" w:rsidRPr="00EE7D22">
        <w:t xml:space="preserve">) </w:t>
      </w:r>
      <w:r w:rsidRPr="00EE7D22">
        <w:t>nell’ottica della realizzazione</w:t>
      </w:r>
      <w:r>
        <w:t xml:space="preserve"> di una funzione duale, sia civile che militare, dell’infrastruttura per una migliore circolazione di mezzi e truppe </w:t>
      </w:r>
      <w:r w:rsidRPr="00DF68EC">
        <w:t>militari</w:t>
      </w:r>
      <w:r w:rsidR="0022607F" w:rsidRPr="00DF68EC">
        <w:t xml:space="preserve"> (si veda il box  di approfondiment</w:t>
      </w:r>
      <w:r w:rsidR="00B73598" w:rsidRPr="00F63DA4">
        <w:t>o</w:t>
      </w:r>
      <w:r w:rsidR="0022607F" w:rsidRPr="00DF68EC">
        <w:t xml:space="preserve"> n.</w:t>
      </w:r>
      <w:r w:rsidR="00175109" w:rsidRPr="00F63DA4">
        <w:t xml:space="preserve"> </w:t>
      </w:r>
      <w:r w:rsidR="00EB5108">
        <w:t>6</w:t>
      </w:r>
      <w:r w:rsidR="0022607F" w:rsidRPr="00DF68EC">
        <w:t>)</w:t>
      </w:r>
      <w:r w:rsidR="00DF68EC" w:rsidRPr="00DF68EC">
        <w:t>.</w:t>
      </w:r>
      <w:r w:rsidR="0022607F" w:rsidRPr="00DF68EC">
        <w:t xml:space="preserve"> Interventi di ultimo miglio, di infrastrutturazione multimodale, di miglioramento della continuità territoriale potranno essere oggetto di co-finanziamento. L’interesse</w:t>
      </w:r>
      <w:r w:rsidR="0022607F">
        <w:t xml:space="preserve"> dell’Italia, data la peculiare conformazione geografica, è quello di garantire da un lato che le tratte di confine di interesse militare nell’area nord del nostro Paese siano corrispondenti e congruenti con  quelle identificate dai Paesi contigui e per </w:t>
      </w:r>
      <w:r w:rsidR="00B73598">
        <w:t>i territori posti a</w:t>
      </w:r>
      <w:r w:rsidR="0022607F">
        <w:t xml:space="preserve"> </w:t>
      </w:r>
      <w:r w:rsidR="00751264">
        <w:t>S</w:t>
      </w:r>
      <w:r w:rsidR="0022607F">
        <w:t xml:space="preserve">ud, considerando il mar Mediterraneo come confine meridionale dell’Unione Europea, </w:t>
      </w:r>
      <w:r w:rsidR="00B73598">
        <w:t>è quello di rafforzare</w:t>
      </w:r>
      <w:r w:rsidR="0022607F">
        <w:t xml:space="preserve"> la continuità dell’asse Nord-Sud non solo all’interno dell’UE ma anche oltre, in modo da increment</w:t>
      </w:r>
      <w:r w:rsidR="00751264">
        <w:t xml:space="preserve">are il livello di protezione e </w:t>
      </w:r>
      <w:r w:rsidR="0022607F">
        <w:t xml:space="preserve">sicurezza europea consentendo agli Stati membri dell'UE di agire più rapidamente, sia nel contesto delle missioni </w:t>
      </w:r>
      <w:r w:rsidR="00751264">
        <w:t>civili che nelle</w:t>
      </w:r>
      <w:r w:rsidR="0022607F">
        <w:t xml:space="preserve"> operazioni della politica di sicurezza e di difesa comune, in attività nazionali e </w:t>
      </w:r>
      <w:r w:rsidR="00751264">
        <w:t>intern</w:t>
      </w:r>
      <w:r w:rsidR="0022607F">
        <w:t xml:space="preserve">azionali. </w:t>
      </w:r>
    </w:p>
    <w:p w14:paraId="0811881A" w14:textId="77777777" w:rsidR="00B73598" w:rsidRDefault="00B73598" w:rsidP="0022607F">
      <w:pPr>
        <w:pStyle w:val="Paragrafoelenco"/>
        <w:ind w:left="0" w:firstLine="709"/>
      </w:pPr>
    </w:p>
    <w:p w14:paraId="239EFB4E" w14:textId="77777777" w:rsidR="00B73598" w:rsidRPr="00514CAB" w:rsidRDefault="00B73598" w:rsidP="00514CAB">
      <w:pPr>
        <w:pBdr>
          <w:top w:val="single" w:sz="4" w:space="1" w:color="auto"/>
          <w:left w:val="single" w:sz="4" w:space="1" w:color="auto"/>
          <w:bottom w:val="single" w:sz="4" w:space="1" w:color="auto"/>
          <w:right w:val="single" w:sz="4" w:space="1" w:color="auto"/>
        </w:pBdr>
        <w:spacing w:after="120"/>
        <w:jc w:val="both"/>
        <w:rPr>
          <w:b/>
          <w:bCs/>
          <w:sz w:val="22"/>
          <w:szCs w:val="22"/>
        </w:rPr>
      </w:pPr>
      <w:r w:rsidRPr="00514CAB">
        <w:rPr>
          <w:b/>
          <w:bCs/>
          <w:sz w:val="22"/>
          <w:szCs w:val="22"/>
        </w:rPr>
        <w:t xml:space="preserve">Box di approfondimento n. </w:t>
      </w:r>
      <w:proofErr w:type="gramStart"/>
      <w:r w:rsidR="000C6189">
        <w:rPr>
          <w:b/>
          <w:bCs/>
          <w:sz w:val="22"/>
          <w:szCs w:val="22"/>
        </w:rPr>
        <w:t>6</w:t>
      </w:r>
      <w:r w:rsidR="00514CAB" w:rsidRPr="00514CAB">
        <w:rPr>
          <w:b/>
          <w:bCs/>
          <w:sz w:val="22"/>
          <w:szCs w:val="22"/>
        </w:rPr>
        <w:t xml:space="preserve"> </w:t>
      </w:r>
      <w:r w:rsidR="000C6189">
        <w:rPr>
          <w:b/>
          <w:bCs/>
          <w:sz w:val="22"/>
          <w:szCs w:val="22"/>
        </w:rPr>
        <w:t xml:space="preserve"> -</w:t>
      </w:r>
      <w:proofErr w:type="gramEnd"/>
      <w:r w:rsidR="000C6189">
        <w:rPr>
          <w:b/>
          <w:bCs/>
          <w:sz w:val="22"/>
          <w:szCs w:val="22"/>
        </w:rPr>
        <w:t xml:space="preserve"> </w:t>
      </w:r>
      <w:r w:rsidR="00514CAB" w:rsidRPr="00514CAB">
        <w:rPr>
          <w:b/>
          <w:bCs/>
          <w:sz w:val="22"/>
          <w:szCs w:val="22"/>
        </w:rPr>
        <w:t>“</w:t>
      </w:r>
      <w:r w:rsidRPr="00514CAB">
        <w:rPr>
          <w:b/>
          <w:sz w:val="22"/>
          <w:szCs w:val="28"/>
          <w:shd w:val="clear" w:color="auto" w:fill="FFFFFF"/>
        </w:rPr>
        <w:t>La Mobilità Militare</w:t>
      </w:r>
      <w:r w:rsidR="00514CAB" w:rsidRPr="00514CAB">
        <w:rPr>
          <w:b/>
          <w:sz w:val="22"/>
          <w:szCs w:val="28"/>
          <w:shd w:val="clear" w:color="auto" w:fill="FFFFFF"/>
        </w:rPr>
        <w:t>”</w:t>
      </w:r>
    </w:p>
    <w:p w14:paraId="251B991C" w14:textId="77777777" w:rsidR="00B73598" w:rsidRPr="00F63DA4" w:rsidRDefault="00B73598" w:rsidP="00B73598">
      <w:pPr>
        <w:pStyle w:val="Didefault"/>
        <w:pBdr>
          <w:top w:val="single" w:sz="4" w:space="1" w:color="auto"/>
          <w:left w:val="single" w:sz="4" w:space="1" w:color="auto"/>
          <w:bottom w:val="single" w:sz="4" w:space="1" w:color="auto"/>
          <w:right w:val="single" w:sz="4" w:space="1" w:color="auto"/>
        </w:pBdr>
        <w:jc w:val="both"/>
        <w:rPr>
          <w:rFonts w:ascii="Times New Roman" w:hAnsi="Times New Roman"/>
          <w:shd w:val="clear" w:color="auto" w:fill="FFFFFF"/>
        </w:rPr>
      </w:pPr>
      <w:r w:rsidRPr="00F63DA4">
        <w:rPr>
          <w:rFonts w:ascii="Times New Roman" w:hAnsi="Times New Roman"/>
          <w:shd w:val="clear" w:color="auto" w:fill="FFFFFF"/>
        </w:rPr>
        <w:t xml:space="preserve">L’iniziativa sulla Mobilità Militare è finalizzata a migliorare e rendere più agevole la mobilità di mezzi e truppe militari, attraverso ed oltre i confini dell’Unione europea, al fine di potenziare il grado di preparazione e il livello di risposta in caso di crisi interne ed esterne. Essa è supportata da uno specifico Piano di Azione, elaborato sulla base della “Comunicazione congiunta sul miglioramento della mobilità militare” del 10 novembre 2017, adottato il 28 marzo 2018 dalla Commissione Europea e dall’alto rappresentante dell’Unione per gli affari esteri e la politica di sicurezza, che ha posto le basi affinché i finanziamenti per l’adeguamento delle reti TEN-T alle esigenze della mobilità militare - ovvero all’ uso duale, civile e militare, delle infrastrutture - fossero erogati tramite il CEF e fossero rivolti a progetti che adattano le parti della rete di trasporto TEN-T per consentire tale duplice uso. La nuova sfida appare infatti quella di facilitare il potenziale movimento di personale e attrezzature militari, migliorando </w:t>
      </w:r>
      <w:proofErr w:type="gramStart"/>
      <w:r w:rsidRPr="00F63DA4">
        <w:rPr>
          <w:rFonts w:ascii="Times New Roman" w:hAnsi="Times New Roman"/>
          <w:shd w:val="clear" w:color="auto" w:fill="FFFFFF"/>
        </w:rPr>
        <w:t>nel contempo</w:t>
      </w:r>
      <w:proofErr w:type="gramEnd"/>
      <w:r w:rsidRPr="00F63DA4">
        <w:rPr>
          <w:rFonts w:ascii="Times New Roman" w:hAnsi="Times New Roman"/>
          <w:shd w:val="clear" w:color="auto" w:fill="FFFFFF"/>
        </w:rPr>
        <w:t xml:space="preserve"> le condizioni e i requisiti di trasporto civile. Il </w:t>
      </w:r>
      <w:proofErr w:type="gramStart"/>
      <w:r w:rsidRPr="00F63DA4">
        <w:rPr>
          <w:rFonts w:ascii="Times New Roman" w:hAnsi="Times New Roman"/>
          <w:shd w:val="clear" w:color="auto" w:fill="FFFFFF"/>
        </w:rPr>
        <w:t>predetto</w:t>
      </w:r>
      <w:proofErr w:type="gramEnd"/>
      <w:r w:rsidRPr="00F63DA4">
        <w:rPr>
          <w:rFonts w:ascii="Times New Roman" w:hAnsi="Times New Roman"/>
          <w:shd w:val="clear" w:color="auto" w:fill="FFFFFF"/>
        </w:rPr>
        <w:t xml:space="preserve"> piano contiene una serie di azioni volte a facilitare gli spostamenti delle truppe e delle risorse militari ed interviene in particolare nei seguenti ambiti: requisiti militari, infrastrutture di trasporto, aspetti normativi e procedurali per l’allineamento della normativa sul trasporto di merci pericolose, la semplificazione delle formalità doganali e l’autorizzazione dei movimenti transfrontalieri. </w:t>
      </w:r>
    </w:p>
    <w:p w14:paraId="2ECD7C5F" w14:textId="77777777" w:rsidR="00B73598" w:rsidRPr="00F63DA4" w:rsidRDefault="00B73598" w:rsidP="00B73598">
      <w:pPr>
        <w:pStyle w:val="Didefault"/>
        <w:pBdr>
          <w:top w:val="single" w:sz="4" w:space="1" w:color="auto"/>
          <w:left w:val="single" w:sz="4" w:space="1" w:color="auto"/>
          <w:bottom w:val="single" w:sz="4" w:space="1" w:color="auto"/>
          <w:right w:val="single" w:sz="4" w:space="1" w:color="auto"/>
        </w:pBdr>
        <w:jc w:val="both"/>
        <w:rPr>
          <w:rFonts w:ascii="Times New Roman" w:hAnsi="Times New Roman"/>
          <w:shd w:val="clear" w:color="auto" w:fill="FFFFFF"/>
        </w:rPr>
      </w:pPr>
      <w:r w:rsidRPr="00F63DA4">
        <w:rPr>
          <w:rFonts w:ascii="Times New Roman" w:hAnsi="Times New Roman"/>
          <w:shd w:val="clear" w:color="auto" w:fill="FFFFFF"/>
        </w:rPr>
        <w:t>Nell’ambito di tale iniziativa, è stato elaborato dall'EUMS (</w:t>
      </w:r>
      <w:r w:rsidRPr="00F63DA4">
        <w:rPr>
          <w:rFonts w:ascii="Times New Roman" w:hAnsi="Times New Roman"/>
          <w:i/>
          <w:shd w:val="clear" w:color="auto" w:fill="FFFFFF"/>
        </w:rPr>
        <w:t xml:space="preserve">EU </w:t>
      </w:r>
      <w:proofErr w:type="spellStart"/>
      <w:r w:rsidRPr="00F63DA4">
        <w:rPr>
          <w:rFonts w:ascii="Times New Roman" w:hAnsi="Times New Roman"/>
          <w:i/>
          <w:shd w:val="clear" w:color="auto" w:fill="FFFFFF"/>
        </w:rPr>
        <w:t>Military</w:t>
      </w:r>
      <w:proofErr w:type="spellEnd"/>
      <w:r w:rsidRPr="00F63DA4">
        <w:rPr>
          <w:rFonts w:ascii="Times New Roman" w:hAnsi="Times New Roman"/>
          <w:i/>
          <w:shd w:val="clear" w:color="auto" w:fill="FFFFFF"/>
        </w:rPr>
        <w:t xml:space="preserve"> Staff</w:t>
      </w:r>
      <w:r w:rsidRPr="00F63DA4">
        <w:rPr>
          <w:rFonts w:ascii="Times New Roman" w:hAnsi="Times New Roman"/>
          <w:shd w:val="clear" w:color="auto" w:fill="FFFFFF"/>
        </w:rPr>
        <w:t xml:space="preserve">) e dai Paesi membri e validato dal Consiglio europeo il 9 </w:t>
      </w:r>
      <w:proofErr w:type="gramStart"/>
      <w:r w:rsidRPr="00F63DA4">
        <w:rPr>
          <w:rFonts w:ascii="Times New Roman" w:hAnsi="Times New Roman"/>
          <w:shd w:val="clear" w:color="auto" w:fill="FFFFFF"/>
        </w:rPr>
        <w:t>Novembre</w:t>
      </w:r>
      <w:proofErr w:type="gramEnd"/>
      <w:r w:rsidRPr="00F63DA4">
        <w:rPr>
          <w:rFonts w:ascii="Times New Roman" w:hAnsi="Times New Roman"/>
          <w:shd w:val="clear" w:color="auto" w:fill="FFFFFF"/>
        </w:rPr>
        <w:t xml:space="preserve"> 2018 il documento “</w:t>
      </w:r>
      <w:proofErr w:type="spellStart"/>
      <w:r w:rsidRPr="00F63DA4">
        <w:rPr>
          <w:rFonts w:ascii="Times New Roman" w:hAnsi="Times New Roman"/>
          <w:i/>
          <w:shd w:val="clear" w:color="auto" w:fill="FFFFFF"/>
        </w:rPr>
        <w:t>Military</w:t>
      </w:r>
      <w:proofErr w:type="spellEnd"/>
      <w:r w:rsidRPr="00F63DA4">
        <w:rPr>
          <w:rFonts w:ascii="Times New Roman" w:hAnsi="Times New Roman"/>
          <w:i/>
          <w:shd w:val="clear" w:color="auto" w:fill="FFFFFF"/>
        </w:rPr>
        <w:t xml:space="preserve"> </w:t>
      </w:r>
      <w:proofErr w:type="spellStart"/>
      <w:r w:rsidRPr="00F63DA4">
        <w:rPr>
          <w:rFonts w:ascii="Times New Roman" w:hAnsi="Times New Roman"/>
          <w:i/>
          <w:shd w:val="clear" w:color="auto" w:fill="FFFFFF"/>
        </w:rPr>
        <w:t>Requirements</w:t>
      </w:r>
      <w:proofErr w:type="spellEnd"/>
      <w:r w:rsidRPr="00F63DA4">
        <w:rPr>
          <w:rFonts w:ascii="Times New Roman" w:hAnsi="Times New Roman"/>
          <w:i/>
          <w:shd w:val="clear" w:color="auto" w:fill="FFFFFF"/>
        </w:rPr>
        <w:t xml:space="preserve"> for </w:t>
      </w:r>
      <w:proofErr w:type="spellStart"/>
      <w:r w:rsidRPr="00F63DA4">
        <w:rPr>
          <w:rFonts w:ascii="Times New Roman" w:hAnsi="Times New Roman"/>
          <w:i/>
          <w:shd w:val="clear" w:color="auto" w:fill="FFFFFF"/>
        </w:rPr>
        <w:t>Military</w:t>
      </w:r>
      <w:proofErr w:type="spellEnd"/>
      <w:r w:rsidRPr="00F63DA4">
        <w:rPr>
          <w:rFonts w:ascii="Times New Roman" w:hAnsi="Times New Roman"/>
          <w:i/>
          <w:shd w:val="clear" w:color="auto" w:fill="FFFFFF"/>
        </w:rPr>
        <w:t xml:space="preserve"> </w:t>
      </w:r>
      <w:proofErr w:type="spellStart"/>
      <w:r w:rsidRPr="00F63DA4">
        <w:rPr>
          <w:rFonts w:ascii="Times New Roman" w:hAnsi="Times New Roman"/>
          <w:i/>
          <w:shd w:val="clear" w:color="auto" w:fill="FFFFFF"/>
        </w:rPr>
        <w:t>Mobility</w:t>
      </w:r>
      <w:proofErr w:type="spellEnd"/>
      <w:r w:rsidRPr="00F63DA4">
        <w:rPr>
          <w:rFonts w:ascii="Times New Roman" w:hAnsi="Times New Roman"/>
          <w:i/>
          <w:shd w:val="clear" w:color="auto" w:fill="FFFFFF"/>
        </w:rPr>
        <w:t xml:space="preserve"> </w:t>
      </w:r>
      <w:proofErr w:type="spellStart"/>
      <w:r w:rsidRPr="00F63DA4">
        <w:rPr>
          <w:rFonts w:ascii="Times New Roman" w:hAnsi="Times New Roman"/>
          <w:i/>
          <w:shd w:val="clear" w:color="auto" w:fill="FFFFFF"/>
        </w:rPr>
        <w:t>within</w:t>
      </w:r>
      <w:proofErr w:type="spellEnd"/>
      <w:r w:rsidRPr="00F63DA4">
        <w:rPr>
          <w:rFonts w:ascii="Times New Roman" w:hAnsi="Times New Roman"/>
          <w:i/>
          <w:shd w:val="clear" w:color="auto" w:fill="FFFFFF"/>
        </w:rPr>
        <w:t xml:space="preserve"> and </w:t>
      </w:r>
      <w:proofErr w:type="spellStart"/>
      <w:r w:rsidRPr="00F63DA4">
        <w:rPr>
          <w:rFonts w:ascii="Times New Roman" w:hAnsi="Times New Roman"/>
          <w:i/>
          <w:shd w:val="clear" w:color="auto" w:fill="FFFFFF"/>
        </w:rPr>
        <w:t>beyond</w:t>
      </w:r>
      <w:proofErr w:type="spellEnd"/>
      <w:r w:rsidRPr="00F63DA4">
        <w:rPr>
          <w:rFonts w:ascii="Times New Roman" w:hAnsi="Times New Roman"/>
          <w:i/>
          <w:shd w:val="clear" w:color="auto" w:fill="FFFFFF"/>
        </w:rPr>
        <w:t xml:space="preserve"> the EU</w:t>
      </w:r>
      <w:r w:rsidRPr="00F63DA4">
        <w:rPr>
          <w:rFonts w:ascii="Times New Roman" w:hAnsi="Times New Roman"/>
          <w:shd w:val="clear" w:color="auto" w:fill="FFFFFF"/>
        </w:rPr>
        <w:t xml:space="preserve">”, il quale contiene le esigenze tecniche delle infrastrutture militari per il trasporto multimodale per modalità, i requisiti tecnici dei veicoli militari e gli elementi geografici delle infrastrutture nazionali ritenuti prioritari per la Mobilità Militare. Successivamente, la Commissione e l’EEAS hanno elaborato a </w:t>
      </w:r>
      <w:proofErr w:type="gramStart"/>
      <w:r w:rsidRPr="00F63DA4">
        <w:rPr>
          <w:rFonts w:ascii="Times New Roman" w:hAnsi="Times New Roman"/>
          <w:shd w:val="clear" w:color="auto" w:fill="FFFFFF"/>
        </w:rPr>
        <w:t>Maggio</w:t>
      </w:r>
      <w:proofErr w:type="gramEnd"/>
      <w:r w:rsidRPr="00F63DA4">
        <w:rPr>
          <w:rFonts w:ascii="Times New Roman" w:hAnsi="Times New Roman"/>
          <w:shd w:val="clear" w:color="auto" w:fill="FFFFFF"/>
        </w:rPr>
        <w:t xml:space="preserve"> 2019 il documento “</w:t>
      </w:r>
      <w:proofErr w:type="spellStart"/>
      <w:r w:rsidRPr="00F63DA4">
        <w:rPr>
          <w:rFonts w:ascii="Times New Roman" w:hAnsi="Times New Roman"/>
          <w:i/>
          <w:shd w:val="clear" w:color="auto" w:fill="FFFFFF"/>
        </w:rPr>
        <w:t>Military</w:t>
      </w:r>
      <w:proofErr w:type="spellEnd"/>
      <w:r w:rsidRPr="00F63DA4">
        <w:rPr>
          <w:rFonts w:ascii="Times New Roman" w:hAnsi="Times New Roman"/>
          <w:i/>
          <w:shd w:val="clear" w:color="auto" w:fill="FFFFFF"/>
        </w:rPr>
        <w:t xml:space="preserve"> </w:t>
      </w:r>
      <w:proofErr w:type="spellStart"/>
      <w:r w:rsidRPr="00F63DA4">
        <w:rPr>
          <w:rFonts w:ascii="Times New Roman" w:hAnsi="Times New Roman"/>
          <w:i/>
          <w:shd w:val="clear" w:color="auto" w:fill="FFFFFF"/>
        </w:rPr>
        <w:t>Requirements</w:t>
      </w:r>
      <w:proofErr w:type="spellEnd"/>
      <w:r w:rsidRPr="00F63DA4">
        <w:rPr>
          <w:rFonts w:ascii="Times New Roman" w:hAnsi="Times New Roman"/>
          <w:i/>
          <w:shd w:val="clear" w:color="auto" w:fill="FFFFFF"/>
        </w:rPr>
        <w:t xml:space="preserve"> and TEN-T </w:t>
      </w:r>
      <w:proofErr w:type="spellStart"/>
      <w:r w:rsidRPr="00F63DA4">
        <w:rPr>
          <w:rFonts w:ascii="Times New Roman" w:hAnsi="Times New Roman"/>
          <w:i/>
          <w:shd w:val="clear" w:color="auto" w:fill="FFFFFF"/>
        </w:rPr>
        <w:t>Infrastructure</w:t>
      </w:r>
      <w:proofErr w:type="spellEnd"/>
      <w:r w:rsidRPr="00F63DA4">
        <w:rPr>
          <w:rFonts w:ascii="Times New Roman" w:hAnsi="Times New Roman"/>
          <w:i/>
          <w:shd w:val="clear" w:color="auto" w:fill="FFFFFF"/>
        </w:rPr>
        <w:t>: Gap Analysis</w:t>
      </w:r>
      <w:r w:rsidRPr="00F63DA4">
        <w:rPr>
          <w:rFonts w:ascii="Times New Roman" w:hAnsi="Times New Roman"/>
          <w:shd w:val="clear" w:color="auto" w:fill="FFFFFF"/>
        </w:rPr>
        <w:t xml:space="preserve">” che definisce il gap tra i requisiti militari e quelli definiti per le reti TEN-T nel Regolamento sulle Linee Guida (Reg. UE n.1315/2013) </w:t>
      </w:r>
      <w:r w:rsidR="00514CAB" w:rsidRPr="00F63DA4">
        <w:rPr>
          <w:rFonts w:ascii="Times New Roman" w:hAnsi="Times New Roman"/>
          <w:shd w:val="clear" w:color="auto" w:fill="FFFFFF"/>
        </w:rPr>
        <w:t>nonché</w:t>
      </w:r>
      <w:r w:rsidRPr="00F63DA4">
        <w:rPr>
          <w:rFonts w:ascii="Times New Roman" w:hAnsi="Times New Roman"/>
          <w:shd w:val="clear" w:color="auto" w:fill="FFFFFF"/>
        </w:rPr>
        <w:t xml:space="preserve"> dalle Direttive e Regolamenti EU in materia di trasporti. </w:t>
      </w:r>
      <w:r w:rsidR="006F6818">
        <w:rPr>
          <w:rFonts w:ascii="Times New Roman" w:hAnsi="Times New Roman"/>
          <w:shd w:val="clear" w:color="auto" w:fill="FFFFFF"/>
        </w:rPr>
        <w:t xml:space="preserve"> </w:t>
      </w:r>
      <w:r w:rsidRPr="00F63DA4">
        <w:rPr>
          <w:rFonts w:ascii="Times New Roman" w:hAnsi="Times New Roman"/>
          <w:shd w:val="clear" w:color="auto" w:fill="FFFFFF"/>
        </w:rPr>
        <w:t xml:space="preserve">A seguito della gap </w:t>
      </w:r>
      <w:proofErr w:type="spellStart"/>
      <w:r w:rsidRPr="00F63DA4">
        <w:rPr>
          <w:rFonts w:ascii="Times New Roman" w:hAnsi="Times New Roman"/>
          <w:shd w:val="clear" w:color="auto" w:fill="FFFFFF"/>
        </w:rPr>
        <w:t>analysis</w:t>
      </w:r>
      <w:proofErr w:type="spellEnd"/>
      <w:r w:rsidRPr="00F63DA4">
        <w:rPr>
          <w:rFonts w:ascii="Times New Roman" w:hAnsi="Times New Roman"/>
          <w:shd w:val="clear" w:color="auto" w:fill="FFFFFF"/>
        </w:rPr>
        <w:t>, i requisiti militari sono stati modificati, con il supporto della Commissione europea</w:t>
      </w:r>
      <w:r w:rsidR="00EA16B4" w:rsidRPr="00F63DA4">
        <w:rPr>
          <w:rFonts w:ascii="Times New Roman" w:hAnsi="Times New Roman"/>
          <w:shd w:val="clear" w:color="auto" w:fill="FFFFFF"/>
        </w:rPr>
        <w:t xml:space="preserve"> e dell’</w:t>
      </w:r>
      <w:proofErr w:type="spellStart"/>
      <w:r w:rsidR="00EA16B4" w:rsidRPr="00F63DA4">
        <w:rPr>
          <w:rFonts w:ascii="Times New Roman" w:hAnsi="Times New Roman"/>
          <w:i/>
          <w:shd w:val="clear" w:color="auto" w:fill="FFFFFF"/>
        </w:rPr>
        <w:t>European</w:t>
      </w:r>
      <w:proofErr w:type="spellEnd"/>
      <w:r w:rsidR="00EA16B4" w:rsidRPr="00F63DA4">
        <w:rPr>
          <w:rFonts w:ascii="Times New Roman" w:hAnsi="Times New Roman"/>
          <w:shd w:val="clear" w:color="auto" w:fill="FFFFFF"/>
        </w:rPr>
        <w:t xml:space="preserve"> </w:t>
      </w:r>
      <w:proofErr w:type="spellStart"/>
      <w:r w:rsidR="00EA16B4" w:rsidRPr="00F63DA4">
        <w:rPr>
          <w:rFonts w:ascii="Times New Roman" w:hAnsi="Times New Roman"/>
          <w:i/>
          <w:shd w:val="clear" w:color="auto" w:fill="FFFFFF"/>
        </w:rPr>
        <w:t>Defence</w:t>
      </w:r>
      <w:proofErr w:type="spellEnd"/>
      <w:r w:rsidR="00EA16B4" w:rsidRPr="00F63DA4">
        <w:rPr>
          <w:rFonts w:ascii="Times New Roman" w:hAnsi="Times New Roman"/>
          <w:i/>
          <w:shd w:val="clear" w:color="auto" w:fill="FFFFFF"/>
        </w:rPr>
        <w:t xml:space="preserve"> Agency</w:t>
      </w:r>
      <w:r w:rsidR="00EA16B4" w:rsidRPr="00F63DA4">
        <w:rPr>
          <w:rFonts w:ascii="Times New Roman" w:hAnsi="Times New Roman"/>
          <w:shd w:val="clear" w:color="auto" w:fill="FFFFFF"/>
        </w:rPr>
        <w:t xml:space="preserve"> (</w:t>
      </w:r>
      <w:r w:rsidRPr="00F63DA4">
        <w:rPr>
          <w:rFonts w:ascii="Times New Roman" w:hAnsi="Times New Roman"/>
          <w:shd w:val="clear" w:color="auto" w:fill="FFFFFF"/>
        </w:rPr>
        <w:t>EDA</w:t>
      </w:r>
      <w:r w:rsidR="00EA16B4" w:rsidRPr="00F63DA4">
        <w:rPr>
          <w:rFonts w:ascii="Times New Roman" w:hAnsi="Times New Roman"/>
          <w:shd w:val="clear" w:color="auto" w:fill="FFFFFF"/>
        </w:rPr>
        <w:t>)</w:t>
      </w:r>
      <w:r w:rsidRPr="00F63DA4">
        <w:rPr>
          <w:rFonts w:ascii="Times New Roman" w:hAnsi="Times New Roman"/>
          <w:shd w:val="clear" w:color="auto" w:fill="FFFFFF"/>
        </w:rPr>
        <w:t xml:space="preserve">, in coordinamento con la NATO, in quanto è emersa la necessità che fossero rivisti in ottica sia </w:t>
      </w:r>
      <w:r w:rsidRPr="00F63DA4">
        <w:rPr>
          <w:rFonts w:ascii="Times New Roman" w:hAnsi="Times New Roman"/>
          <w:i/>
          <w:shd w:val="clear" w:color="auto" w:fill="FFFFFF"/>
        </w:rPr>
        <w:t>dual-use</w:t>
      </w:r>
      <w:r w:rsidRPr="00F63DA4">
        <w:rPr>
          <w:rFonts w:ascii="Times New Roman" w:hAnsi="Times New Roman"/>
          <w:shd w:val="clear" w:color="auto" w:fill="FFFFFF"/>
        </w:rPr>
        <w:t xml:space="preserve">, in quanto o troppo stringenti o non corrispondenti ad un’effettiva necessità militare o ad una realistica fattibilità tecnica, che geografica, in caso di sezioni /nodi mancanti o da perfezionare in particolare in relazione ai collegamenti di “ultimo miglio”. Tale processo di revisione si è concluso a </w:t>
      </w:r>
      <w:proofErr w:type="gramStart"/>
      <w:r w:rsidRPr="00F63DA4">
        <w:rPr>
          <w:rFonts w:ascii="Times New Roman" w:hAnsi="Times New Roman"/>
          <w:shd w:val="clear" w:color="auto" w:fill="FFFFFF"/>
        </w:rPr>
        <w:t>Gennaio</w:t>
      </w:r>
      <w:proofErr w:type="gramEnd"/>
      <w:r w:rsidRPr="00F63DA4">
        <w:rPr>
          <w:rFonts w:ascii="Times New Roman" w:hAnsi="Times New Roman"/>
          <w:shd w:val="clear" w:color="auto" w:fill="FFFFFF"/>
        </w:rPr>
        <w:t xml:space="preserve"> 2020, seppur senza ancora formale adozione dei requisiti </w:t>
      </w:r>
      <w:r w:rsidRPr="00F63DA4">
        <w:rPr>
          <w:rFonts w:ascii="Times New Roman" w:hAnsi="Times New Roman"/>
          <w:i/>
          <w:shd w:val="clear" w:color="auto" w:fill="FFFFFF"/>
        </w:rPr>
        <w:t>dual-use</w:t>
      </w:r>
      <w:r w:rsidRPr="00F63DA4">
        <w:rPr>
          <w:rFonts w:ascii="Times New Roman" w:hAnsi="Times New Roman"/>
          <w:shd w:val="clear" w:color="auto" w:fill="FFFFFF"/>
        </w:rPr>
        <w:t xml:space="preserve"> da parte dell’organo comunitario.</w:t>
      </w:r>
    </w:p>
    <w:p w14:paraId="1C292101" w14:textId="77777777" w:rsidR="00B73598" w:rsidRPr="00F63DA4" w:rsidRDefault="00B73598" w:rsidP="00B73598">
      <w:pPr>
        <w:pStyle w:val="Didefault"/>
        <w:pBdr>
          <w:top w:val="single" w:sz="4" w:space="1" w:color="auto"/>
          <w:left w:val="single" w:sz="4" w:space="1" w:color="auto"/>
          <w:bottom w:val="single" w:sz="4" w:space="1" w:color="auto"/>
          <w:right w:val="single" w:sz="4" w:space="1" w:color="auto"/>
        </w:pBdr>
        <w:jc w:val="both"/>
        <w:rPr>
          <w:rFonts w:ascii="Times New Roman" w:hAnsi="Times New Roman"/>
          <w:shd w:val="clear" w:color="auto" w:fill="FFFFFF"/>
        </w:rPr>
      </w:pPr>
      <w:r w:rsidRPr="00F63DA4">
        <w:rPr>
          <w:rFonts w:ascii="Times New Roman" w:hAnsi="Times New Roman"/>
          <w:shd w:val="clear" w:color="auto" w:fill="FFFFFF"/>
        </w:rPr>
        <w:t xml:space="preserve">Nella seconda metà del 2021 verrà avviata la terza revisione dei requisiti militari per cui potranno essere riviste le priorità militari, sia in termini di parametri tecnici che di liste e mappe geografiche. Ciò avverrà contemporaneamente al lancio della nuova proposta legislativa sulla revisione delle reti civili TEN-T che potrà </w:t>
      </w:r>
      <w:r w:rsidRPr="00F63DA4">
        <w:rPr>
          <w:rFonts w:ascii="Times New Roman" w:hAnsi="Times New Roman"/>
          <w:shd w:val="clear" w:color="auto" w:fill="FFFFFF"/>
        </w:rPr>
        <w:lastRenderedPageBreak/>
        <w:t>quindi includere anche sezioni o nodi di rilevanza duale (sia miliare che civile) in considerazione delle priorità e condizioni della Mobilità Militare.</w:t>
      </w:r>
    </w:p>
    <w:p w14:paraId="70E3EAB1" w14:textId="77777777" w:rsidR="00B73598" w:rsidRPr="00F63DA4" w:rsidRDefault="00B73598" w:rsidP="00B73598">
      <w:pPr>
        <w:pStyle w:val="Didefault"/>
        <w:pBdr>
          <w:top w:val="single" w:sz="4" w:space="1" w:color="auto"/>
          <w:left w:val="single" w:sz="4" w:space="1" w:color="auto"/>
          <w:bottom w:val="single" w:sz="4" w:space="1" w:color="auto"/>
          <w:right w:val="single" w:sz="4" w:space="1" w:color="auto"/>
        </w:pBdr>
        <w:jc w:val="both"/>
        <w:rPr>
          <w:rFonts w:ascii="Times New Roman" w:hAnsi="Times New Roman"/>
          <w:shd w:val="clear" w:color="auto" w:fill="FFFFFF"/>
        </w:rPr>
      </w:pPr>
      <w:r w:rsidRPr="00F63DA4">
        <w:rPr>
          <w:rFonts w:ascii="Times New Roman" w:hAnsi="Times New Roman"/>
          <w:shd w:val="clear" w:color="auto" w:fill="FFFFFF"/>
        </w:rPr>
        <w:t xml:space="preserve">Infine, gli Stati membri stanno lavorando alla definizione di una </w:t>
      </w:r>
      <w:r w:rsidRPr="00F63DA4">
        <w:rPr>
          <w:rFonts w:ascii="Times New Roman" w:hAnsi="Times New Roman"/>
          <w:i/>
          <w:shd w:val="clear" w:color="auto" w:fill="FFFFFF"/>
        </w:rPr>
        <w:t>pipeline</w:t>
      </w:r>
      <w:r w:rsidRPr="00F63DA4">
        <w:rPr>
          <w:rFonts w:ascii="Times New Roman" w:hAnsi="Times New Roman"/>
          <w:shd w:val="clear" w:color="auto" w:fill="FFFFFF"/>
        </w:rPr>
        <w:t xml:space="preserve"> di progetti prioritari sul fronte Mobilità Militare che contribuiscano alla realizzazione di una funzione duale, sia civile che militare, dell’infrastruttura e che potranno essere finanziati, nell’ambito della rubrica sulla mobilità militare, se confermata nel futuro Regolamento CEF 2.0 per il periodo 2021-2027 che attende adozione a seguito dell’accordo sul bilancio pluriennale dell’UE.</w:t>
      </w:r>
    </w:p>
    <w:p w14:paraId="72AF8581" w14:textId="77777777" w:rsidR="00B73598" w:rsidRPr="00F63DA4" w:rsidRDefault="00B73598" w:rsidP="00B73598">
      <w:pPr>
        <w:pStyle w:val="Didefault"/>
        <w:pBdr>
          <w:top w:val="single" w:sz="4" w:space="1" w:color="auto"/>
          <w:left w:val="single" w:sz="4" w:space="1" w:color="auto"/>
          <w:bottom w:val="single" w:sz="4" w:space="1" w:color="auto"/>
          <w:right w:val="single" w:sz="4" w:space="1" w:color="auto"/>
        </w:pBdr>
        <w:jc w:val="both"/>
        <w:rPr>
          <w:rFonts w:ascii="Times New Roman" w:hAnsi="Times New Roman"/>
          <w:shd w:val="clear" w:color="auto" w:fill="FFFFFF"/>
        </w:rPr>
      </w:pPr>
      <w:r w:rsidRPr="00F63DA4">
        <w:rPr>
          <w:rFonts w:ascii="Times New Roman" w:hAnsi="Times New Roman"/>
          <w:shd w:val="clear" w:color="auto" w:fill="FFFFFF"/>
        </w:rPr>
        <w:t>L’obiettivo sarà quindi quello di utilizzare fondi CEF per incrementare i requisiti delle infrastrutture con uso sia militare che civile, in piena coerenza con quanto identificato dalla Difesa, concentrando l’attenzione su aeroporti (ad es. sistemi di atterraggio, terminal passeggeri, dispositivi antineve, infrastrutture di emergenza, aree di stoccaggio, sistemi di gestione traffico aereo), porti (ad es. terminal container, aree di stoccaggio, sistemi di sollevamento carichi) e connessioni stradali (ad es. per incrementare il carico massimo ammissibile per ponti).</w:t>
      </w:r>
    </w:p>
    <w:p w14:paraId="52A193C8" w14:textId="77777777" w:rsidR="00B73598" w:rsidRDefault="00B73598" w:rsidP="00450E48"/>
    <w:p w14:paraId="1BAF4B7B" w14:textId="77777777" w:rsidR="00706961" w:rsidRDefault="00614D88" w:rsidP="00706961">
      <w:pPr>
        <w:pStyle w:val="Paragrafoelenco"/>
        <w:ind w:left="0"/>
      </w:pPr>
      <w:r>
        <w:rPr>
          <w:rFonts w:ascii="BookAntiqua" w:hAnsi="BookAntiqua" w:cs="BookAntiqua"/>
        </w:rPr>
        <w:tab/>
      </w:r>
      <w:r w:rsidR="00706961" w:rsidRPr="00F63DA4">
        <w:t xml:space="preserve">Tra gli </w:t>
      </w:r>
      <w:r w:rsidR="00706961">
        <w:t xml:space="preserve">ulteriori </w:t>
      </w:r>
      <w:r w:rsidR="00706961" w:rsidRPr="00F63DA4">
        <w:t xml:space="preserve">schemi di finanziamento si </w:t>
      </w:r>
      <w:r w:rsidR="00706961">
        <w:t>prevede,</w:t>
      </w:r>
      <w:r w:rsidR="00706961" w:rsidRPr="00F63DA4">
        <w:t xml:space="preserve"> </w:t>
      </w:r>
      <w:r w:rsidR="00706961">
        <w:t xml:space="preserve">anche per il prossimo periodo di programmazione, </w:t>
      </w:r>
      <w:r w:rsidR="00706961" w:rsidRPr="00F63DA4">
        <w:t>la presenza delle operazioni di combinazione di strumenti finanziari dette “</w:t>
      </w:r>
      <w:proofErr w:type="spellStart"/>
      <w:r w:rsidR="00706961" w:rsidRPr="00F63DA4">
        <w:rPr>
          <w:i/>
        </w:rPr>
        <w:t>Blending</w:t>
      </w:r>
      <w:proofErr w:type="spellEnd"/>
      <w:r w:rsidR="00706961" w:rsidRPr="00F63DA4">
        <w:rPr>
          <w:i/>
        </w:rPr>
        <w:t xml:space="preserve"> </w:t>
      </w:r>
      <w:proofErr w:type="spellStart"/>
      <w:r w:rsidR="00706961" w:rsidRPr="00F63DA4">
        <w:rPr>
          <w:i/>
        </w:rPr>
        <w:t>Operation</w:t>
      </w:r>
      <w:proofErr w:type="spellEnd"/>
      <w:r w:rsidR="00706961" w:rsidRPr="00F63DA4">
        <w:t>” che</w:t>
      </w:r>
      <w:r w:rsidR="00706961">
        <w:t>,</w:t>
      </w:r>
      <w:r w:rsidR="00706961" w:rsidRPr="00F63DA4">
        <w:t xml:space="preserve"> insieme alle altre forme di</w:t>
      </w:r>
      <w:r w:rsidR="00706961" w:rsidRPr="00175109">
        <w:t xml:space="preserve"> finanziamento dell'UE</w:t>
      </w:r>
      <w:r w:rsidR="00706961">
        <w:t>,</w:t>
      </w:r>
      <w:r w:rsidR="00706961" w:rsidRPr="00175109">
        <w:t xml:space="preserve"> verranno riunite sotto lo strumento denominato </w:t>
      </w:r>
      <w:proofErr w:type="spellStart"/>
      <w:r w:rsidR="00706961" w:rsidRPr="00175109">
        <w:rPr>
          <w:i/>
        </w:rPr>
        <w:t>InvestEU</w:t>
      </w:r>
      <w:proofErr w:type="spellEnd"/>
      <w:r w:rsidR="00706961">
        <w:t xml:space="preserve">. Muovendo dal </w:t>
      </w:r>
      <w:r w:rsidR="00706961" w:rsidRPr="00175109">
        <w:t>successo d</w:t>
      </w:r>
      <w:r w:rsidR="00706961">
        <w:t>el piano Juncker o fondo FEIS (</w:t>
      </w:r>
      <w:r w:rsidR="00706961" w:rsidRPr="00175109">
        <w:t>Fondo Europeo per gli Investimenti Strategici</w:t>
      </w:r>
      <w:r w:rsidR="00706961">
        <w:t>),</w:t>
      </w:r>
      <w:r w:rsidR="00706961" w:rsidRPr="00175109">
        <w:t xml:space="preserve"> </w:t>
      </w:r>
      <w:proofErr w:type="spellStart"/>
      <w:r w:rsidR="00706961" w:rsidRPr="00175109">
        <w:rPr>
          <w:i/>
        </w:rPr>
        <w:t>InvestEU</w:t>
      </w:r>
      <w:proofErr w:type="spellEnd"/>
      <w:r w:rsidR="00706961" w:rsidRPr="00B340E0">
        <w:t>,</w:t>
      </w:r>
      <w:r w:rsidR="00706961" w:rsidRPr="00175109">
        <w:t xml:space="preserve"> </w:t>
      </w:r>
      <w:r w:rsidR="00706961">
        <w:t xml:space="preserve">pensato come un’unica struttura coerente di </w:t>
      </w:r>
      <w:r w:rsidR="00706961" w:rsidRPr="00450E48">
        <w:rPr>
          <w:i/>
        </w:rPr>
        <w:t>governance</w:t>
      </w:r>
      <w:r w:rsidR="00706961">
        <w:t xml:space="preserve">, </w:t>
      </w:r>
      <w:r w:rsidR="00706961" w:rsidRPr="00175109">
        <w:t>continuerà a mobilitare gli investimenti pubblici e privati nell'UE, per contribuire a rimediare alla carenza di investimenti, ancora consistente, in Europa</w:t>
      </w:r>
      <w:r w:rsidR="00706961">
        <w:t xml:space="preserve"> (si veda il box di approfondimento n. 7)</w:t>
      </w:r>
      <w:r w:rsidR="00706961" w:rsidRPr="00175109">
        <w:t xml:space="preserve">. L’obiettivo è quello di creare un portafoglio diversificato e flessibile con il sostegno rivolto a quattro settori di intervento: infrastrutture sostenibili; ricerca, innovazione e digitalizzazione; piccole e medie imprese; investimenti sociali e competenze. </w:t>
      </w:r>
    </w:p>
    <w:p w14:paraId="2EEF6FC6" w14:textId="77777777" w:rsidR="00706961" w:rsidRDefault="00706961" w:rsidP="00614D88">
      <w:pPr>
        <w:pStyle w:val="Paragrafoelenco"/>
        <w:ind w:left="0"/>
      </w:pPr>
      <w:r>
        <w:tab/>
      </w:r>
    </w:p>
    <w:p w14:paraId="329FBA59" w14:textId="77777777" w:rsidR="00175109" w:rsidRPr="00514CAB" w:rsidRDefault="00175109" w:rsidP="00514CAB">
      <w:pPr>
        <w:pBdr>
          <w:top w:val="single" w:sz="4" w:space="1" w:color="auto"/>
          <w:left w:val="single" w:sz="4" w:space="1" w:color="auto"/>
          <w:bottom w:val="single" w:sz="4" w:space="1" w:color="auto"/>
          <w:right w:val="single" w:sz="4" w:space="1" w:color="auto"/>
        </w:pBdr>
        <w:spacing w:after="120"/>
        <w:jc w:val="both"/>
        <w:rPr>
          <w:b/>
          <w:bCs/>
          <w:sz w:val="22"/>
          <w:szCs w:val="22"/>
        </w:rPr>
      </w:pPr>
      <w:r w:rsidRPr="00514CAB">
        <w:rPr>
          <w:b/>
          <w:bCs/>
          <w:sz w:val="22"/>
          <w:szCs w:val="22"/>
        </w:rPr>
        <w:t xml:space="preserve">Box di approfondimento </w:t>
      </w:r>
      <w:r w:rsidR="00EB5108" w:rsidRPr="00514CAB">
        <w:rPr>
          <w:b/>
          <w:bCs/>
          <w:sz w:val="22"/>
          <w:szCs w:val="22"/>
        </w:rPr>
        <w:t xml:space="preserve">n. </w:t>
      </w:r>
      <w:r w:rsidR="000C6189">
        <w:rPr>
          <w:b/>
          <w:bCs/>
          <w:sz w:val="22"/>
          <w:szCs w:val="22"/>
        </w:rPr>
        <w:t xml:space="preserve">7 </w:t>
      </w:r>
      <w:proofErr w:type="gramStart"/>
      <w:r w:rsidR="000C6189">
        <w:rPr>
          <w:b/>
          <w:bCs/>
          <w:sz w:val="22"/>
          <w:szCs w:val="22"/>
        </w:rPr>
        <w:t xml:space="preserve">- </w:t>
      </w:r>
      <w:r w:rsidR="00514CAB" w:rsidRPr="00514CAB">
        <w:rPr>
          <w:b/>
          <w:bCs/>
          <w:sz w:val="22"/>
          <w:szCs w:val="22"/>
        </w:rPr>
        <w:t xml:space="preserve"> “</w:t>
      </w:r>
      <w:proofErr w:type="spellStart"/>
      <w:proofErr w:type="gramEnd"/>
      <w:r w:rsidRPr="00514CAB">
        <w:rPr>
          <w:b/>
          <w:bCs/>
          <w:i/>
          <w:sz w:val="22"/>
          <w:szCs w:val="22"/>
        </w:rPr>
        <w:t>InvestEU</w:t>
      </w:r>
      <w:proofErr w:type="spellEnd"/>
      <w:r w:rsidR="00514CAB" w:rsidRPr="00514CAB">
        <w:rPr>
          <w:b/>
          <w:bCs/>
          <w:i/>
          <w:sz w:val="22"/>
          <w:szCs w:val="22"/>
        </w:rPr>
        <w:t>”</w:t>
      </w:r>
    </w:p>
    <w:p w14:paraId="34BCC3BF" w14:textId="77777777" w:rsidR="00706961" w:rsidRPr="00710BA4" w:rsidRDefault="00706961" w:rsidP="00706961">
      <w:pPr>
        <w:pStyle w:val="Didefault"/>
        <w:pBdr>
          <w:top w:val="single" w:sz="4" w:space="1" w:color="auto"/>
          <w:left w:val="single" w:sz="4" w:space="1" w:color="auto"/>
          <w:bottom w:val="single" w:sz="4" w:space="1" w:color="auto"/>
          <w:right w:val="single" w:sz="4" w:space="1" w:color="auto"/>
        </w:pBdr>
        <w:jc w:val="both"/>
        <w:rPr>
          <w:rFonts w:ascii="Times New Roman" w:hAnsi="Times New Roman"/>
          <w:color w:val="auto"/>
          <w:shd w:val="clear" w:color="auto" w:fill="FFFFFF"/>
        </w:rPr>
      </w:pPr>
      <w:r w:rsidRPr="00F63DA4">
        <w:rPr>
          <w:rFonts w:ascii="Times New Roman" w:hAnsi="Times New Roman"/>
          <w:shd w:val="clear" w:color="auto" w:fill="FFFFFF"/>
        </w:rPr>
        <w:t xml:space="preserve">Il Programma </w:t>
      </w:r>
      <w:proofErr w:type="spellStart"/>
      <w:r w:rsidRPr="00F63DA4">
        <w:rPr>
          <w:rFonts w:ascii="Times New Roman" w:hAnsi="Times New Roman"/>
          <w:i/>
          <w:shd w:val="clear" w:color="auto" w:fill="FFFFFF"/>
        </w:rPr>
        <w:t>InvestEU</w:t>
      </w:r>
      <w:proofErr w:type="spellEnd"/>
      <w:r w:rsidRPr="00F63DA4">
        <w:rPr>
          <w:rFonts w:ascii="Times New Roman" w:hAnsi="Times New Roman"/>
          <w:i/>
          <w:shd w:val="clear" w:color="auto" w:fill="FFFFFF"/>
        </w:rPr>
        <w:t>,</w:t>
      </w:r>
      <w:r w:rsidRPr="00F63DA4">
        <w:rPr>
          <w:rFonts w:ascii="Times New Roman" w:hAnsi="Times New Roman"/>
          <w:shd w:val="clear" w:color="auto" w:fill="FFFFFF"/>
        </w:rPr>
        <w:t xml:space="preserve"> che vedrà la propria operatività a partire dal gennaio 2021 come parte del nuovo Quadro Finanziario Pluriennale dell’Unione, muove dalla riuscita esperienza degli attuali strumenti finanziari per le politiche interne e del FEIS che è stato avviato a luglio 2015 per promuovere gli investimenti e stimolare la crescita economica e l'occupazione nell'Unione europea, e la cui conclusione, originariamente prevista a luglio 2018, era stata prorogata fino alla fine del 2020, ampliandone al contempo la dimensione. L’obiettivo generale del Programma è quello di sostenere gli obiettivi delle politiche europee attraverso la mobilitazione di investimenti pubblici e privati nell’ambito dell’Unione, finanziando soggetti economici al fine di promuovere la competitività dell’economia europea, la crescita sostenibile, la resilienza sociale e l’inclusione e l’integrazione dei mercati dei capitali nell’Unione, rispondendo a obiettivi trasversali in termini di semplificazione, flessibilità, sinergie e coerenza tra le specifiche politiche dell’Unione stessa nonché all’esigenza di integrare in un unico fondo l’attuale molteplicità degli strumenti finanziari europei. Il Programma</w:t>
      </w:r>
      <w:r w:rsidRPr="00F63DA4">
        <w:rPr>
          <w:rFonts w:ascii="Times New Roman" w:hAnsi="Times New Roman"/>
          <w:i/>
          <w:shd w:val="clear" w:color="auto" w:fill="FFFFFF"/>
        </w:rPr>
        <w:t xml:space="preserve"> </w:t>
      </w:r>
      <w:proofErr w:type="spellStart"/>
      <w:r w:rsidRPr="00F63DA4">
        <w:rPr>
          <w:rFonts w:ascii="Times New Roman" w:hAnsi="Times New Roman"/>
          <w:i/>
          <w:shd w:val="clear" w:color="auto" w:fill="FFFFFF"/>
        </w:rPr>
        <w:t>InvestEU</w:t>
      </w:r>
      <w:proofErr w:type="spellEnd"/>
      <w:r w:rsidRPr="00F63DA4">
        <w:rPr>
          <w:rFonts w:ascii="Times New Roman" w:hAnsi="Times New Roman"/>
          <w:shd w:val="clear" w:color="auto" w:fill="FFFFFF"/>
        </w:rPr>
        <w:t xml:space="preserve">, volto a contribuire alla modernizzazione del bilancio europeo e ad aumentarne l’impatto seguendo la logica del “fare di più con meno” si basa su quattro pilastri: il Fondo </w:t>
      </w:r>
      <w:proofErr w:type="spellStart"/>
      <w:r w:rsidRPr="00F63DA4">
        <w:rPr>
          <w:rFonts w:ascii="Times New Roman" w:hAnsi="Times New Roman"/>
          <w:i/>
          <w:shd w:val="clear" w:color="auto" w:fill="FFFFFF"/>
        </w:rPr>
        <w:t>InvestEU</w:t>
      </w:r>
      <w:proofErr w:type="spellEnd"/>
      <w:r w:rsidRPr="00F63DA4">
        <w:rPr>
          <w:rFonts w:ascii="Times New Roman" w:hAnsi="Times New Roman"/>
          <w:shd w:val="clear" w:color="auto" w:fill="FFFFFF"/>
        </w:rPr>
        <w:t xml:space="preserve"> che fornisce la garanzia dell’UE, il polo di consulenza </w:t>
      </w:r>
      <w:proofErr w:type="spellStart"/>
      <w:r w:rsidRPr="00F63DA4">
        <w:rPr>
          <w:rFonts w:ascii="Times New Roman" w:hAnsi="Times New Roman"/>
          <w:i/>
          <w:shd w:val="clear" w:color="auto" w:fill="FFFFFF"/>
        </w:rPr>
        <w:t>InvestEU</w:t>
      </w:r>
      <w:proofErr w:type="spellEnd"/>
      <w:r w:rsidRPr="00F63DA4">
        <w:rPr>
          <w:rFonts w:ascii="Times New Roman" w:hAnsi="Times New Roman"/>
          <w:shd w:val="clear" w:color="auto" w:fill="FFFFFF"/>
        </w:rPr>
        <w:t xml:space="preserve"> che fornisce assistenza tecnica per lo sviluppo del singolo progetto, il portale</w:t>
      </w:r>
      <w:r w:rsidRPr="00F63DA4">
        <w:rPr>
          <w:rFonts w:ascii="Times New Roman" w:hAnsi="Times New Roman"/>
          <w:i/>
          <w:shd w:val="clear" w:color="auto" w:fill="FFFFFF"/>
        </w:rPr>
        <w:t xml:space="preserve"> </w:t>
      </w:r>
      <w:proofErr w:type="spellStart"/>
      <w:r w:rsidRPr="00F63DA4">
        <w:rPr>
          <w:rFonts w:ascii="Times New Roman" w:hAnsi="Times New Roman"/>
          <w:i/>
          <w:shd w:val="clear" w:color="auto" w:fill="FFFFFF"/>
        </w:rPr>
        <w:t>InvestEU</w:t>
      </w:r>
      <w:proofErr w:type="spellEnd"/>
      <w:r w:rsidRPr="00F63DA4">
        <w:rPr>
          <w:rFonts w:ascii="Times New Roman" w:hAnsi="Times New Roman"/>
          <w:shd w:val="clear" w:color="auto" w:fill="FFFFFF"/>
        </w:rPr>
        <w:t xml:space="preserve"> che fornisce dati facilmente accessibili per promuovere i progetti che sono alla ricerca di finanziamenti e le operazioni di finanziamento misto.</w:t>
      </w:r>
      <w:r>
        <w:rPr>
          <w:rFonts w:ascii="Times New Roman" w:hAnsi="Times New Roman"/>
          <w:shd w:val="clear" w:color="auto" w:fill="FFFFFF"/>
        </w:rPr>
        <w:t xml:space="preserve"> </w:t>
      </w:r>
      <w:r w:rsidRPr="00F63DA4">
        <w:rPr>
          <w:rFonts w:ascii="Times New Roman" w:hAnsi="Times New Roman"/>
          <w:shd w:val="clear" w:color="auto" w:fill="FFFFFF"/>
        </w:rPr>
        <w:t>Il quadro di bilancio attualmente previsto (a prezzi correnti) per lo strumento è pari a 15,2 miliardi di euro dei quali circa 0,5 miliardi di euro saranno destinati all’assistenza allo sviluppo e ad altre misure di accompagnamento ed i restanti 14,7 miliardi di euro saranno suddivisi tra i quattro settori di intervento previsti: infrastrutture sostenibili (11,5 miliardi di €), ricerca, innovazione e digitalizzazione (11,25 miliardi di €), PMI (11,25 miliardi di €) ed infine investimenti sociali e competenze (4 miliardi di €). Tali importi potranno essere adeguati dalla Commissione fino ad un massimo del 15% in ciascun settore per adeguarli all’evoluzione delle priorità politiche e della domanda del mercato.</w:t>
      </w:r>
      <w:r>
        <w:rPr>
          <w:rFonts w:ascii="Times New Roman" w:hAnsi="Times New Roman"/>
          <w:shd w:val="clear" w:color="auto" w:fill="FFFFFF"/>
        </w:rPr>
        <w:t xml:space="preserve"> </w:t>
      </w:r>
      <w:r w:rsidRPr="00F63DA4">
        <w:rPr>
          <w:rFonts w:ascii="Times New Roman" w:hAnsi="Times New Roman"/>
          <w:shd w:val="clear" w:color="auto" w:fill="FFFFFF"/>
        </w:rPr>
        <w:t>La dotazione prevista consente alla Commissione di fornire una garanzia per circa 38 miliardi di euro, con un tasso di copertura al 40%</w:t>
      </w:r>
      <w:r>
        <w:rPr>
          <w:rFonts w:ascii="Times New Roman" w:hAnsi="Times New Roman"/>
          <w:shd w:val="clear" w:color="auto" w:fill="FFFFFF"/>
        </w:rPr>
        <w:t>,</w:t>
      </w:r>
      <w:r w:rsidRPr="00F63DA4">
        <w:rPr>
          <w:rFonts w:ascii="Times New Roman" w:hAnsi="Times New Roman"/>
          <w:shd w:val="clear" w:color="auto" w:fill="FFFFFF"/>
        </w:rPr>
        <w:t xml:space="preserve"> consentendo di mobilitare circa </w:t>
      </w:r>
      <w:r w:rsidRPr="00710BA4">
        <w:rPr>
          <w:rFonts w:ascii="Times New Roman" w:hAnsi="Times New Roman"/>
          <w:color w:val="auto"/>
          <w:shd w:val="clear" w:color="auto" w:fill="FFFFFF"/>
        </w:rPr>
        <w:t>650 miliardi di euro di investimenti totali, garantendo sostegno agli investimenti sin dal 2021.</w:t>
      </w:r>
      <w:r w:rsidRPr="00710BA4">
        <w:rPr>
          <w:color w:val="auto"/>
          <w:szCs w:val="30"/>
          <w:shd w:val="clear" w:color="auto" w:fill="FFFFFF"/>
        </w:rPr>
        <w:t xml:space="preserve"> </w:t>
      </w:r>
      <w:r w:rsidRPr="00710BA4">
        <w:rPr>
          <w:rFonts w:ascii="Times New Roman" w:hAnsi="Times New Roman"/>
          <w:color w:val="auto"/>
          <w:shd w:val="clear" w:color="auto" w:fill="FFFFFF"/>
        </w:rPr>
        <w:t xml:space="preserve">Oltre alla citata garanzia, è previsto che gli Stati membri possano, su base volontaria, utilizzare parte dei fondi in regime di gestione concorrente (fino al 5%), attraverso un apposito comparto della sopra citata garanzia nell’ambito del Fondo </w:t>
      </w:r>
      <w:proofErr w:type="spellStart"/>
      <w:r w:rsidRPr="00710BA4">
        <w:rPr>
          <w:rFonts w:ascii="Times New Roman" w:hAnsi="Times New Roman"/>
          <w:i/>
          <w:color w:val="auto"/>
          <w:shd w:val="clear" w:color="auto" w:fill="FFFFFF"/>
        </w:rPr>
        <w:t>InvestEU</w:t>
      </w:r>
      <w:proofErr w:type="spellEnd"/>
      <w:r w:rsidRPr="00710BA4">
        <w:rPr>
          <w:rFonts w:ascii="Times New Roman" w:hAnsi="Times New Roman"/>
          <w:color w:val="auto"/>
          <w:shd w:val="clear" w:color="auto" w:fill="FFFFFF"/>
        </w:rPr>
        <w:t xml:space="preserve"> per il perseguimento dei medesimi obiettivi e in specifiche condizioni. Il Fondo </w:t>
      </w:r>
      <w:proofErr w:type="spellStart"/>
      <w:r w:rsidRPr="00710BA4">
        <w:rPr>
          <w:rFonts w:ascii="Times New Roman" w:hAnsi="Times New Roman"/>
          <w:i/>
          <w:color w:val="auto"/>
          <w:shd w:val="clear" w:color="auto" w:fill="FFFFFF"/>
        </w:rPr>
        <w:t>InvestEU</w:t>
      </w:r>
      <w:proofErr w:type="spellEnd"/>
      <w:r w:rsidRPr="00710BA4">
        <w:rPr>
          <w:rFonts w:ascii="Times New Roman" w:hAnsi="Times New Roman"/>
          <w:color w:val="auto"/>
          <w:shd w:val="clear" w:color="auto" w:fill="FFFFFF"/>
        </w:rPr>
        <w:t>, che può essere combinato con sovvenzioni e/o strumenti finanziari finanziati dal bilancio dell'Unione, sarà gestito dalla Commissione europea avvalendosi del sostegno di partner finanziari per l'attuazione (</w:t>
      </w:r>
      <w:r w:rsidR="005D75DA" w:rsidRPr="00710BA4">
        <w:rPr>
          <w:rFonts w:ascii="Times New Roman" w:hAnsi="Times New Roman"/>
          <w:color w:val="auto"/>
          <w:shd w:val="clear" w:color="auto" w:fill="FFFFFF"/>
        </w:rPr>
        <w:t xml:space="preserve">la </w:t>
      </w:r>
      <w:r w:rsidRPr="00710BA4">
        <w:rPr>
          <w:rFonts w:ascii="Times New Roman" w:hAnsi="Times New Roman"/>
          <w:color w:val="auto"/>
          <w:shd w:val="clear" w:color="auto" w:fill="FFFFFF"/>
        </w:rPr>
        <w:t xml:space="preserve">Banca Europea per gli </w:t>
      </w:r>
      <w:r w:rsidR="00B01DD4" w:rsidRPr="00710BA4">
        <w:rPr>
          <w:rFonts w:ascii="Times New Roman" w:hAnsi="Times New Roman"/>
          <w:color w:val="auto"/>
          <w:shd w:val="clear" w:color="auto" w:fill="FFFFFF"/>
        </w:rPr>
        <w:t>I</w:t>
      </w:r>
      <w:r w:rsidRPr="00710BA4">
        <w:rPr>
          <w:rFonts w:ascii="Times New Roman" w:hAnsi="Times New Roman"/>
          <w:color w:val="auto"/>
          <w:shd w:val="clear" w:color="auto" w:fill="FFFFFF"/>
        </w:rPr>
        <w:t>nvestimenti</w:t>
      </w:r>
      <w:r w:rsidR="00FC448D" w:rsidRPr="00710BA4">
        <w:rPr>
          <w:rFonts w:ascii="Times New Roman" w:hAnsi="Times New Roman"/>
          <w:color w:val="auto"/>
          <w:shd w:val="clear" w:color="auto" w:fill="FFFFFF"/>
        </w:rPr>
        <w:t>,</w:t>
      </w:r>
      <w:r w:rsidRPr="00710BA4">
        <w:rPr>
          <w:rFonts w:ascii="Times New Roman" w:hAnsi="Times New Roman"/>
          <w:color w:val="auto"/>
          <w:shd w:val="clear" w:color="auto" w:fill="FFFFFF"/>
        </w:rPr>
        <w:t xml:space="preserve"> la Banca </w:t>
      </w:r>
      <w:r w:rsidR="00FC448D" w:rsidRPr="00710BA4">
        <w:rPr>
          <w:rFonts w:ascii="Times New Roman" w:hAnsi="Times New Roman"/>
          <w:color w:val="auto"/>
          <w:shd w:val="clear" w:color="auto" w:fill="FFFFFF"/>
        </w:rPr>
        <w:t xml:space="preserve">Europea </w:t>
      </w:r>
      <w:r w:rsidRPr="00710BA4">
        <w:rPr>
          <w:rFonts w:ascii="Times New Roman" w:hAnsi="Times New Roman"/>
          <w:color w:val="auto"/>
          <w:shd w:val="clear" w:color="auto" w:fill="FFFFFF"/>
        </w:rPr>
        <w:t xml:space="preserve">per la </w:t>
      </w:r>
      <w:r w:rsidR="005D75DA" w:rsidRPr="00710BA4">
        <w:rPr>
          <w:rFonts w:ascii="Times New Roman" w:hAnsi="Times New Roman"/>
          <w:color w:val="auto"/>
          <w:shd w:val="clear" w:color="auto" w:fill="FFFFFF"/>
        </w:rPr>
        <w:t>R</w:t>
      </w:r>
      <w:r w:rsidRPr="00710BA4">
        <w:rPr>
          <w:rFonts w:ascii="Times New Roman" w:hAnsi="Times New Roman"/>
          <w:color w:val="auto"/>
          <w:shd w:val="clear" w:color="auto" w:fill="FFFFFF"/>
        </w:rPr>
        <w:t xml:space="preserve">icostruzione e lo </w:t>
      </w:r>
      <w:r w:rsidR="005D75DA" w:rsidRPr="00710BA4">
        <w:rPr>
          <w:rFonts w:ascii="Times New Roman" w:hAnsi="Times New Roman"/>
          <w:color w:val="auto"/>
          <w:shd w:val="clear" w:color="auto" w:fill="FFFFFF"/>
        </w:rPr>
        <w:t>S</w:t>
      </w:r>
      <w:r w:rsidRPr="00710BA4">
        <w:rPr>
          <w:rFonts w:ascii="Times New Roman" w:hAnsi="Times New Roman"/>
          <w:color w:val="auto"/>
          <w:shd w:val="clear" w:color="auto" w:fill="FFFFFF"/>
        </w:rPr>
        <w:t xml:space="preserve">viluppo, la Banca </w:t>
      </w:r>
      <w:r w:rsidR="00FC448D" w:rsidRPr="00710BA4">
        <w:rPr>
          <w:rFonts w:ascii="Times New Roman" w:hAnsi="Times New Roman"/>
          <w:color w:val="auto"/>
          <w:shd w:val="clear" w:color="auto" w:fill="FFFFFF"/>
        </w:rPr>
        <w:t>Mondiale</w:t>
      </w:r>
      <w:r w:rsidRPr="00710BA4">
        <w:rPr>
          <w:rFonts w:ascii="Times New Roman" w:hAnsi="Times New Roman"/>
          <w:color w:val="auto"/>
          <w:shd w:val="clear" w:color="auto" w:fill="FFFFFF"/>
        </w:rPr>
        <w:t>, la Banca del Consiglio d’Europa e le banche di promozione nazionali che dovranno operare in gruppo in modo da coprire almeno tre Stati membri).</w:t>
      </w:r>
    </w:p>
    <w:p w14:paraId="48AE40F1" w14:textId="77777777" w:rsidR="00175109" w:rsidRDefault="00175109" w:rsidP="00614D88">
      <w:pPr>
        <w:pStyle w:val="Paragrafoelenco"/>
        <w:ind w:left="0"/>
      </w:pPr>
    </w:p>
    <w:p w14:paraId="5FFE2D1F" w14:textId="77777777" w:rsidR="00710BA4" w:rsidRDefault="00710BA4" w:rsidP="00614D88">
      <w:pPr>
        <w:pStyle w:val="Paragrafoelenco"/>
        <w:ind w:left="0"/>
      </w:pPr>
    </w:p>
    <w:p w14:paraId="3515FAB8" w14:textId="77777777" w:rsidR="00AC4293" w:rsidRPr="00F63DA4" w:rsidRDefault="00AC4293" w:rsidP="00AC4293">
      <w:pPr>
        <w:autoSpaceDE w:val="0"/>
        <w:autoSpaceDN w:val="0"/>
        <w:adjustRightInd w:val="0"/>
        <w:jc w:val="both"/>
        <w:rPr>
          <w:b/>
          <w:bCs/>
        </w:rPr>
      </w:pPr>
      <w:r w:rsidRPr="00D44AF0">
        <w:rPr>
          <w:b/>
          <w:bCs/>
        </w:rPr>
        <w:t>XI.4.3.</w:t>
      </w:r>
      <w:r w:rsidR="000C6189" w:rsidRPr="00D44AF0">
        <w:rPr>
          <w:b/>
          <w:bCs/>
        </w:rPr>
        <w:t>2</w:t>
      </w:r>
      <w:r w:rsidRPr="00D44AF0">
        <w:rPr>
          <w:b/>
          <w:bCs/>
        </w:rPr>
        <w:t xml:space="preserve"> </w:t>
      </w:r>
      <w:r w:rsidR="00710BA4">
        <w:rPr>
          <w:b/>
          <w:bCs/>
        </w:rPr>
        <w:t>-</w:t>
      </w:r>
      <w:r w:rsidRPr="00D44AF0">
        <w:rPr>
          <w:b/>
          <w:bCs/>
        </w:rPr>
        <w:t xml:space="preserve"> </w:t>
      </w:r>
      <w:r w:rsidR="008C24E2" w:rsidRPr="00D44AF0">
        <w:rPr>
          <w:b/>
          <w:bCs/>
        </w:rPr>
        <w:t>Revisione della rete</w:t>
      </w:r>
    </w:p>
    <w:p w14:paraId="2740335F" w14:textId="77777777" w:rsidR="002A27B5" w:rsidRPr="00084BB6" w:rsidRDefault="002A27B5" w:rsidP="00F63DA4">
      <w:pPr>
        <w:autoSpaceDE w:val="0"/>
        <w:autoSpaceDN w:val="0"/>
        <w:adjustRightInd w:val="0"/>
        <w:ind w:firstLine="709"/>
        <w:jc w:val="both"/>
        <w:rPr>
          <w:rFonts w:ascii="BookAntiqua" w:hAnsi="BookAntiqua" w:cs="BookAntiqua"/>
        </w:rPr>
      </w:pPr>
    </w:p>
    <w:p w14:paraId="64FF84C6" w14:textId="77777777" w:rsidR="000E573C" w:rsidRDefault="00755EDF" w:rsidP="00F63DA4">
      <w:pPr>
        <w:ind w:firstLine="709"/>
        <w:jc w:val="both"/>
      </w:pPr>
      <w:r>
        <w:lastRenderedPageBreak/>
        <w:t>La</w:t>
      </w:r>
      <w:r w:rsidR="001F7E31" w:rsidRPr="001F7E31">
        <w:t xml:space="preserve"> </w:t>
      </w:r>
      <w:r w:rsidR="000E1C97">
        <w:t>Commissione Europea</w:t>
      </w:r>
      <w:r w:rsidR="001F7E31" w:rsidRPr="001F7E31">
        <w:t xml:space="preserve"> ha </w:t>
      </w:r>
      <w:r w:rsidR="001F7E31">
        <w:t>annunciato</w:t>
      </w:r>
      <w:r w:rsidR="001F7E31" w:rsidRPr="001F7E31">
        <w:t xml:space="preserve"> di voler anticipare la revisione della </w:t>
      </w:r>
      <w:r w:rsidR="00B90D76">
        <w:t>Rete Transeuropea</w:t>
      </w:r>
      <w:r w:rsidR="001F7E31" w:rsidRPr="001F7E31">
        <w:t xml:space="preserve"> </w:t>
      </w:r>
      <w:r w:rsidR="001F7E31">
        <w:t xml:space="preserve">dei </w:t>
      </w:r>
      <w:r w:rsidR="001F7E31" w:rsidRPr="00755EDF">
        <w:t>trasporti e i relativi orientamenti, previsti nel Regolamento (UE) n.1315/2013, al 2021 anziché al 2023</w:t>
      </w:r>
      <w:r w:rsidR="000E573C">
        <w:t>; u</w:t>
      </w:r>
      <w:r w:rsidR="000E573C" w:rsidRPr="00F63DA4">
        <w:t>na proposta di revisione dovrebbe essere pronta entro giugno 2021</w:t>
      </w:r>
      <w:r w:rsidR="000E573C">
        <w:t xml:space="preserve"> ma si prevede che il nuovo assetto della rete possa entrare in vigore non prima del 2023</w:t>
      </w:r>
      <w:r w:rsidR="000E573C" w:rsidRPr="00F63DA4">
        <w:t xml:space="preserve">. </w:t>
      </w:r>
      <w:r w:rsidR="001F7E31" w:rsidRPr="00755EDF">
        <w:t xml:space="preserve">In coerenza con quanto sopra, ha indi lanciato una consultazione pubblica il 24 aprile 2019 </w:t>
      </w:r>
      <w:r w:rsidR="001F7E31" w:rsidRPr="00F63DA4">
        <w:t xml:space="preserve">che </w:t>
      </w:r>
      <w:r w:rsidR="00245896" w:rsidRPr="00F63DA4">
        <w:t>si è conclusa il</w:t>
      </w:r>
      <w:r w:rsidR="00245896" w:rsidRPr="00755EDF">
        <w:t xml:space="preserve"> </w:t>
      </w:r>
      <w:r w:rsidR="001F7E31" w:rsidRPr="00755EDF">
        <w:t>17 luglio</w:t>
      </w:r>
      <w:r w:rsidR="001F7E31">
        <w:t xml:space="preserve"> 2019</w:t>
      </w:r>
      <w:r>
        <w:t xml:space="preserve"> a cui hanno partecipato olt</w:t>
      </w:r>
      <w:r w:rsidR="00751264">
        <w:t xml:space="preserve">re 700 soggetti interessati, </w:t>
      </w:r>
      <w:r>
        <w:t>incluso il Ministero delle</w:t>
      </w:r>
      <w:r w:rsidR="000E573C">
        <w:t xml:space="preserve"> Infrastrutture e dei Trasporti</w:t>
      </w:r>
      <w:r w:rsidR="00751264">
        <w:t>,</w:t>
      </w:r>
      <w:r w:rsidR="000E573C">
        <w:t xml:space="preserve"> i cui risultati sono oggetto di uno studio </w:t>
      </w:r>
      <w:r w:rsidR="00751264">
        <w:t xml:space="preserve">al fine di valutare in modo </w:t>
      </w:r>
      <w:r w:rsidR="000E573C" w:rsidRPr="00F63DA4">
        <w:t>approfondito alcuni temi specifici</w:t>
      </w:r>
      <w:r w:rsidR="000E573C">
        <w:t>.</w:t>
      </w:r>
    </w:p>
    <w:p w14:paraId="399581C9" w14:textId="77777777" w:rsidR="000E573C" w:rsidRPr="00F63DA4" w:rsidRDefault="000E573C" w:rsidP="00751264">
      <w:pPr>
        <w:ind w:firstLine="708"/>
        <w:jc w:val="both"/>
        <w:rPr>
          <w:color w:val="auto"/>
        </w:rPr>
      </w:pPr>
      <w:r w:rsidRPr="00F63DA4">
        <w:t xml:space="preserve">Parallelamente, è stato avviato un secondo studio per valutare lo stato dei piani e dei programmi nazionali degli Stati membri in relazione agli obblighi in materia di TEN-T per garantire il tempestivo completamento della rete Centrale. La relazione finale dei due studi dovrebbe essere disponibile alla fine dell'estate 2020. La Commissione </w:t>
      </w:r>
      <w:r w:rsidRPr="00F63DA4">
        <w:rPr>
          <w:color w:val="auto"/>
        </w:rPr>
        <w:t>prevede di pubblicare il documento alla fine</w:t>
      </w:r>
      <w:r w:rsidR="00751264">
        <w:rPr>
          <w:color w:val="auto"/>
        </w:rPr>
        <w:t xml:space="preserve"> dell'autunno 2020. </w:t>
      </w:r>
      <w:r w:rsidR="00755EDF" w:rsidRPr="00F63DA4">
        <w:rPr>
          <w:color w:val="auto"/>
        </w:rPr>
        <w:t>Al</w:t>
      </w:r>
      <w:r w:rsidR="001F7E31" w:rsidRPr="00F63DA4">
        <w:rPr>
          <w:color w:val="auto"/>
        </w:rPr>
        <w:t xml:space="preserve"> contempo</w:t>
      </w:r>
      <w:r w:rsidR="00755EDF" w:rsidRPr="00F63DA4">
        <w:rPr>
          <w:color w:val="auto"/>
        </w:rPr>
        <w:t>, l’organo comunitario</w:t>
      </w:r>
      <w:r w:rsidR="001F7E31" w:rsidRPr="00F63DA4">
        <w:rPr>
          <w:color w:val="auto"/>
        </w:rPr>
        <w:t xml:space="preserve"> </w:t>
      </w:r>
      <w:r w:rsidR="00755EDF" w:rsidRPr="00F63DA4">
        <w:rPr>
          <w:color w:val="auto"/>
        </w:rPr>
        <w:t xml:space="preserve">ha recentemente comunicato </w:t>
      </w:r>
      <w:r w:rsidR="00751264">
        <w:rPr>
          <w:color w:val="auto"/>
        </w:rPr>
        <w:t xml:space="preserve">di </w:t>
      </w:r>
      <w:r w:rsidR="00755EDF" w:rsidRPr="00F63DA4">
        <w:rPr>
          <w:color w:val="auto"/>
        </w:rPr>
        <w:t xml:space="preserve">essere pronto a dare </w:t>
      </w:r>
      <w:r w:rsidR="001F7E31" w:rsidRPr="00F63DA4">
        <w:rPr>
          <w:color w:val="auto"/>
        </w:rPr>
        <w:t xml:space="preserve">inizio al processo </w:t>
      </w:r>
      <w:r w:rsidR="00751264">
        <w:rPr>
          <w:color w:val="auto"/>
        </w:rPr>
        <w:t xml:space="preserve">di consultazione con </w:t>
      </w:r>
      <w:r w:rsidR="00755EDF" w:rsidRPr="00F63DA4">
        <w:rPr>
          <w:color w:val="auto"/>
        </w:rPr>
        <w:t>gli Stati membri con cui avvierà una serie di incontri a livello bilaterale.</w:t>
      </w:r>
      <w:r w:rsidR="001F7E31" w:rsidRPr="00F63DA4">
        <w:rPr>
          <w:color w:val="auto"/>
        </w:rPr>
        <w:t xml:space="preserve"> </w:t>
      </w:r>
    </w:p>
    <w:p w14:paraId="37A0DE67" w14:textId="77777777" w:rsidR="000E573C" w:rsidRPr="00F63DA4" w:rsidRDefault="000E573C" w:rsidP="00F63DA4">
      <w:pPr>
        <w:ind w:firstLine="709"/>
        <w:jc w:val="both"/>
        <w:rPr>
          <w:color w:val="auto"/>
        </w:rPr>
      </w:pPr>
      <w:r w:rsidRPr="00F63DA4">
        <w:rPr>
          <w:rFonts w:eastAsia="Times New Roman" w:cs="Times New Roman"/>
          <w:color w:val="auto"/>
        </w:rPr>
        <w:t xml:space="preserve">I principi fondamentali alla base del processo di revisione </w:t>
      </w:r>
      <w:r w:rsidR="00751264">
        <w:rPr>
          <w:rFonts w:eastAsia="Times New Roman" w:cs="Times New Roman"/>
          <w:color w:val="auto"/>
        </w:rPr>
        <w:t>saranno</w:t>
      </w:r>
      <w:r w:rsidRPr="00F63DA4">
        <w:rPr>
          <w:rFonts w:eastAsia="Times New Roman" w:cs="Times New Roman"/>
          <w:color w:val="auto"/>
        </w:rPr>
        <w:t xml:space="preserve"> essenzialmente tre:</w:t>
      </w:r>
    </w:p>
    <w:p w14:paraId="3180DBDA" w14:textId="77777777" w:rsidR="000E573C" w:rsidRPr="00F63DA4" w:rsidRDefault="00CD290D" w:rsidP="00F63DA4">
      <w:pPr>
        <w:pStyle w:val="Paragrafoelenco"/>
        <w:numPr>
          <w:ilvl w:val="0"/>
          <w:numId w:val="65"/>
        </w:numPr>
        <w:ind w:left="284" w:hanging="284"/>
        <w:rPr>
          <w:color w:val="auto"/>
        </w:rPr>
      </w:pPr>
      <w:r w:rsidRPr="00F63DA4">
        <w:rPr>
          <w:color w:val="auto"/>
        </w:rPr>
        <w:t>l</w:t>
      </w:r>
      <w:r w:rsidR="000E573C" w:rsidRPr="00F63DA4">
        <w:rPr>
          <w:color w:val="auto"/>
        </w:rPr>
        <w:t xml:space="preserve">a metodologia di pianificazione utilizzata per la progettazione della rete adottata nel 2013 </w:t>
      </w:r>
      <w:r w:rsidR="00751264">
        <w:rPr>
          <w:color w:val="auto"/>
        </w:rPr>
        <w:t>resterà</w:t>
      </w:r>
      <w:r w:rsidR="000E573C" w:rsidRPr="00F63DA4">
        <w:rPr>
          <w:color w:val="auto"/>
        </w:rPr>
        <w:t xml:space="preserve"> invariata. Ne consegue che la rete </w:t>
      </w:r>
      <w:r w:rsidRPr="00F63DA4">
        <w:rPr>
          <w:color w:val="auto"/>
        </w:rPr>
        <w:t>rimarrà</w:t>
      </w:r>
      <w:r w:rsidR="000E573C" w:rsidRPr="00F63DA4">
        <w:rPr>
          <w:color w:val="auto"/>
        </w:rPr>
        <w:t xml:space="preserve"> complessivamente stabile</w:t>
      </w:r>
      <w:r w:rsidRPr="00F63DA4">
        <w:rPr>
          <w:color w:val="auto"/>
        </w:rPr>
        <w:t>;</w:t>
      </w:r>
    </w:p>
    <w:p w14:paraId="377F0A25" w14:textId="77777777" w:rsidR="00CD290D" w:rsidRPr="00F63DA4" w:rsidRDefault="00CD290D" w:rsidP="00F63DA4">
      <w:pPr>
        <w:pStyle w:val="Paragrafoelenco"/>
        <w:numPr>
          <w:ilvl w:val="0"/>
          <w:numId w:val="65"/>
        </w:numPr>
        <w:ind w:left="284" w:hanging="284"/>
        <w:rPr>
          <w:color w:val="auto"/>
          <w:lang w:val="fr-FR"/>
        </w:rPr>
      </w:pPr>
      <w:r w:rsidRPr="00F63DA4">
        <w:rPr>
          <w:color w:val="auto"/>
        </w:rPr>
        <w:t>l</w:t>
      </w:r>
      <w:r w:rsidR="000E573C" w:rsidRPr="00F63DA4">
        <w:rPr>
          <w:color w:val="auto"/>
        </w:rPr>
        <w:t>'orizzonte temporale per i</w:t>
      </w:r>
      <w:r w:rsidRPr="00F63DA4">
        <w:rPr>
          <w:color w:val="auto"/>
        </w:rPr>
        <w:t>l completamento della rete rimarrà</w:t>
      </w:r>
      <w:r w:rsidR="000E573C" w:rsidRPr="00F63DA4">
        <w:rPr>
          <w:color w:val="auto"/>
        </w:rPr>
        <w:t xml:space="preserve"> invariato (2030 per la</w:t>
      </w:r>
      <w:r w:rsidRPr="00F63DA4">
        <w:rPr>
          <w:color w:val="auto"/>
        </w:rPr>
        <w:t xml:space="preserve"> rete Centrale, 2050 per la rete G</w:t>
      </w:r>
      <w:r w:rsidR="000E573C" w:rsidRPr="00F63DA4">
        <w:rPr>
          <w:color w:val="auto"/>
        </w:rPr>
        <w:t>lobale)</w:t>
      </w:r>
      <w:r w:rsidRPr="00F63DA4">
        <w:rPr>
          <w:color w:val="auto"/>
        </w:rPr>
        <w:t>;</w:t>
      </w:r>
    </w:p>
    <w:p w14:paraId="1FB50004" w14:textId="77777777" w:rsidR="000E573C" w:rsidRPr="00F63DA4" w:rsidRDefault="00CD290D" w:rsidP="00F63DA4">
      <w:pPr>
        <w:pStyle w:val="Paragrafoelenco"/>
        <w:numPr>
          <w:ilvl w:val="0"/>
          <w:numId w:val="65"/>
        </w:numPr>
        <w:ind w:left="284" w:hanging="284"/>
        <w:rPr>
          <w:color w:val="auto"/>
          <w:lang w:val="fr-FR"/>
        </w:rPr>
      </w:pPr>
      <w:r w:rsidRPr="00F63DA4">
        <w:rPr>
          <w:color w:val="auto"/>
        </w:rPr>
        <w:t>l</w:t>
      </w:r>
      <w:r w:rsidR="000E573C" w:rsidRPr="00F63DA4">
        <w:rPr>
          <w:color w:val="auto"/>
        </w:rPr>
        <w:t xml:space="preserve">'accento principale della revisione </w:t>
      </w:r>
      <w:r w:rsidR="00751264">
        <w:rPr>
          <w:color w:val="auto"/>
        </w:rPr>
        <w:t>verrà posto</w:t>
      </w:r>
      <w:r w:rsidR="000E573C" w:rsidRPr="00F63DA4">
        <w:rPr>
          <w:color w:val="auto"/>
        </w:rPr>
        <w:t xml:space="preserve"> sul miglioramento della qualità dell'intera TEN-T quale strumento per il conseguimento degli obiettivi della politica dei trasporti alla luce </w:t>
      </w:r>
      <w:r w:rsidRPr="00F63DA4">
        <w:rPr>
          <w:color w:val="auto"/>
        </w:rPr>
        <w:t xml:space="preserve">del </w:t>
      </w:r>
      <w:r w:rsidRPr="00450E48">
        <w:rPr>
          <w:i/>
          <w:color w:val="auto"/>
        </w:rPr>
        <w:t>Green</w:t>
      </w:r>
      <w:r w:rsidR="00514CAB" w:rsidRPr="00450E48">
        <w:rPr>
          <w:i/>
          <w:color w:val="auto"/>
        </w:rPr>
        <w:t xml:space="preserve"> </w:t>
      </w:r>
      <w:r w:rsidRPr="00450E48">
        <w:rPr>
          <w:i/>
          <w:color w:val="auto"/>
        </w:rPr>
        <w:t>Deal</w:t>
      </w:r>
      <w:r w:rsidRPr="00F63DA4">
        <w:rPr>
          <w:color w:val="auto"/>
        </w:rPr>
        <w:t>.</w:t>
      </w:r>
      <w:r w:rsidR="000E573C" w:rsidRPr="00F63DA4">
        <w:rPr>
          <w:color w:val="auto"/>
        </w:rPr>
        <w:t xml:space="preserve"> </w:t>
      </w:r>
    </w:p>
    <w:p w14:paraId="7DCE535F" w14:textId="77777777" w:rsidR="00E35FBF" w:rsidRPr="0040652E" w:rsidRDefault="000E5811" w:rsidP="00F63DA4">
      <w:pPr>
        <w:pStyle w:val="Paragrafoelenco"/>
        <w:ind w:left="0" w:firstLine="709"/>
      </w:pPr>
      <w:r w:rsidRPr="00F63DA4">
        <w:t>Per garantire lo sviluppo infrastrutturale del Paese, l’Italia ha sempre manifestato la necessità di incorporare nella strategia europea dei corridoi gli assi considerati essenziali nell’ambito del sistema nazionale facendo quanto più possibile convergere ed allin</w:t>
      </w:r>
      <w:r w:rsidR="00E35FBF" w:rsidRPr="00F63DA4">
        <w:t>eare obiettivi e pianificazioni</w:t>
      </w:r>
      <w:r w:rsidR="00E35FBF">
        <w:t xml:space="preserve"> </w:t>
      </w:r>
      <w:r w:rsidR="00E35FBF" w:rsidRPr="00F63DA4">
        <w:t xml:space="preserve">e colmando i </w:t>
      </w:r>
      <w:proofErr w:type="gramStart"/>
      <w:r w:rsidR="00E35FBF" w:rsidRPr="00751264">
        <w:rPr>
          <w:i/>
        </w:rPr>
        <w:t>gap</w:t>
      </w:r>
      <w:proofErr w:type="gramEnd"/>
      <w:r w:rsidR="00E35FBF" w:rsidRPr="00F63DA4">
        <w:t xml:space="preserve"> esistenti</w:t>
      </w:r>
      <w:r w:rsidRPr="00F63DA4">
        <w:t>.</w:t>
      </w:r>
      <w:r w:rsidR="00755EDF" w:rsidRPr="00F63DA4">
        <w:t xml:space="preserve"> </w:t>
      </w:r>
      <w:r w:rsidR="00E35FBF" w:rsidRPr="00F63DA4">
        <w:t>In tale contesto si inserisce l’obiettivo di garantire un pieno riconoscimento ed allineamento tra la pianificazione nazionale con la pianificazione europea architettata sulla rete TEN-T core e sui Corridoi della rete centrale.</w:t>
      </w:r>
      <w:r w:rsidR="00755EDF" w:rsidRPr="00F63DA4">
        <w:t xml:space="preserve"> </w:t>
      </w:r>
      <w:r w:rsidR="00614D88" w:rsidRPr="001F7E31">
        <w:t xml:space="preserve">Tale esigenza, è parzialmente confluita nella proposta di Regolamento che istituisce il Meccanismo per Connettere l’Europa </w:t>
      </w:r>
      <w:r w:rsidR="001F7E31">
        <w:t>per il periodo 2021-2027</w:t>
      </w:r>
      <w:r w:rsidR="00614D88" w:rsidRPr="001F7E31">
        <w:t>. Le ulteriori proposte italiane potranno trovare spazio nel</w:t>
      </w:r>
      <w:r w:rsidR="00755EDF">
        <w:t xml:space="preserve"> processo di</w:t>
      </w:r>
      <w:r w:rsidR="00614D88" w:rsidRPr="001F7E31">
        <w:t xml:space="preserve"> </w:t>
      </w:r>
      <w:r w:rsidR="00614D88" w:rsidRPr="0040652E">
        <w:t>revisione delle reti attesa per il 2021</w:t>
      </w:r>
      <w:r w:rsidR="00E35FBF" w:rsidRPr="0040652E">
        <w:t xml:space="preserve">, </w:t>
      </w:r>
      <w:r w:rsidR="00E35FBF" w:rsidRPr="00F63DA4">
        <w:t xml:space="preserve">occasione che sarà colta al </w:t>
      </w:r>
      <w:r w:rsidR="006D3A71" w:rsidRPr="00F63DA4">
        <w:t>f</w:t>
      </w:r>
      <w:r w:rsidR="00E35FBF" w:rsidRPr="00F63DA4">
        <w:t>ine di raggiungere una piena convergenza delle politiche e degli strumenti programmatici</w:t>
      </w:r>
      <w:r w:rsidR="00614D88" w:rsidRPr="0040652E">
        <w:t xml:space="preserve">. </w:t>
      </w:r>
    </w:p>
    <w:p w14:paraId="6F614D02" w14:textId="77777777" w:rsidR="006D3A71" w:rsidRPr="0040652E" w:rsidRDefault="006D3A71" w:rsidP="00F63DA4">
      <w:pPr>
        <w:pStyle w:val="Paragrafoelenco"/>
        <w:ind w:left="0" w:firstLine="708"/>
      </w:pPr>
      <w:r w:rsidRPr="00F63DA4">
        <w:t xml:space="preserve">La rete nazionale, infatti, seppur ispirata ed in larga parte allineata al tracciato della rete centrale TEN-T, include delle sezioni e dei nodi strategici nazionali aggiuntivi che attualmente non risultano incorporati nel quadro europeo, </w:t>
      </w:r>
      <w:r w:rsidR="00755EDF" w:rsidRPr="00F63DA4">
        <w:t>a titolo</w:t>
      </w:r>
      <w:r w:rsidR="00B27D51">
        <w:t xml:space="preserve"> meramente </w:t>
      </w:r>
      <w:r w:rsidR="00755EDF" w:rsidRPr="00F63DA4">
        <w:t>esemplificativo</w:t>
      </w:r>
      <w:r w:rsidR="00B27D51">
        <w:t>,</w:t>
      </w:r>
      <w:r w:rsidR="00B27D51" w:rsidRPr="00B27D51">
        <w:t xml:space="preserve"> se ne citano </w:t>
      </w:r>
      <w:r w:rsidR="00B27D51">
        <w:t>d</w:t>
      </w:r>
      <w:r w:rsidR="00755EDF" w:rsidRPr="00F63DA4">
        <w:t>i seguito alcuni</w:t>
      </w:r>
      <w:r w:rsidRPr="00F63DA4">
        <w:t>:</w:t>
      </w:r>
    </w:p>
    <w:p w14:paraId="02D43C58" w14:textId="77777777" w:rsidR="006D3A71" w:rsidRDefault="006D3A71" w:rsidP="00710BA4">
      <w:pPr>
        <w:pStyle w:val="Paragrafoelenco"/>
        <w:numPr>
          <w:ilvl w:val="0"/>
          <w:numId w:val="50"/>
        </w:numPr>
        <w:tabs>
          <w:tab w:val="left" w:pos="1134"/>
        </w:tabs>
        <w:ind w:left="0" w:firstLine="709"/>
      </w:pPr>
      <w:r w:rsidRPr="00F63DA4">
        <w:t xml:space="preserve">l’intera dorsale adriatica, con particolare riferimento alla sezione “Ancona-Bari” al fine di perseguire l’obiettivo di prolungare il Corridoio Baltico Adriatico lungo l’asse adriatico fino al nodo di Bari su cui i volumi di traffico passeggeri e merci sono in continua crescita, consentendo, così, di completare la rete centrale TEN-T con un vero e proprio “anello mancante”, sia ferroviario che stradale, per rafforzare la competitività dell’Europa e in particolare della Regione Adriatico Ionica, anche in ottica di rafforzamento dei collegamenti marittimi orizzontali con l’area balcanica. Preme segnalare che in tal modo </w:t>
      </w:r>
      <w:r w:rsidR="0040652E" w:rsidRPr="00F63DA4">
        <w:t xml:space="preserve">il Corridoio Baltico Adriatico </w:t>
      </w:r>
      <w:r w:rsidRPr="00F63DA4">
        <w:t>si congiungerebbe con il Corridoio Scandinavo Mediterraneo che con lo sfiocco che si origina a Napoli arriva fino a Bari per poi terminare a Taranto. Gli investimenti su tale linea potrebbero cogliere opportunità di finanziamento volte</w:t>
      </w:r>
      <w:r w:rsidR="00751264">
        <w:t>,</w:t>
      </w:r>
      <w:r w:rsidRPr="00F63DA4">
        <w:t xml:space="preserve"> inoltre</w:t>
      </w:r>
      <w:r w:rsidR="00751264">
        <w:t>,</w:t>
      </w:r>
      <w:r w:rsidRPr="00F63DA4">
        <w:t xml:space="preserve"> a dotar</w:t>
      </w:r>
      <w:r w:rsidR="0040652E" w:rsidRPr="00F63DA4">
        <w:t>e tale dorsale</w:t>
      </w:r>
      <w:r w:rsidRPr="00F63DA4">
        <w:t xml:space="preserve"> di tecnologie innovative ed avanzate sia in ambito sia stradale (ITS e C-ITS) che ferroviario (ERTMS);</w:t>
      </w:r>
    </w:p>
    <w:p w14:paraId="231B9DC3" w14:textId="77777777" w:rsidR="0040652E" w:rsidRDefault="0040652E" w:rsidP="00710BA4">
      <w:pPr>
        <w:pStyle w:val="Paragrafoelenco"/>
        <w:numPr>
          <w:ilvl w:val="0"/>
          <w:numId w:val="50"/>
        </w:numPr>
        <w:tabs>
          <w:tab w:val="left" w:pos="1134"/>
        </w:tabs>
        <w:ind w:left="0" w:firstLine="709"/>
      </w:pPr>
      <w:r w:rsidRPr="00A75050">
        <w:t>per quanto riguarda i porti, a seguito della riforma portuale introdotta con D.</w:t>
      </w:r>
      <w:r w:rsidR="00B76C6E">
        <w:t xml:space="preserve"> </w:t>
      </w:r>
      <w:r w:rsidRPr="00A75050">
        <w:t xml:space="preserve">Lgs. 169/2016 che ha determinato l’accorpamento dei 58 porti di rilevante interesse nazionale in Autorità di Sistema Portuale con sede nei porti </w:t>
      </w:r>
      <w:r w:rsidRPr="00A75050">
        <w:rPr>
          <w:i/>
        </w:rPr>
        <w:t>Core</w:t>
      </w:r>
      <w:r w:rsidRPr="00A75050">
        <w:t xml:space="preserve"> del “Sistema”, si può osservare come il Porto di Civitavecchia non rientri tra i porti della rete centrale del Corridoio Scandinavo-Mediterraneo. Civitavecchia rappresenta, dal punto di vista </w:t>
      </w:r>
      <w:proofErr w:type="gramStart"/>
      <w:r w:rsidRPr="00A75050">
        <w:t>socio</w:t>
      </w:r>
      <w:r w:rsidR="00751264">
        <w:t>-</w:t>
      </w:r>
      <w:r w:rsidR="00710BA4">
        <w:t>economico</w:t>
      </w:r>
      <w:proofErr w:type="gramEnd"/>
      <w:r w:rsidR="00710BA4">
        <w:t>, il porto della c</w:t>
      </w:r>
      <w:r w:rsidRPr="00A75050">
        <w:t xml:space="preserve">ittà di Roma e la caratterizzazione di tale nodo quale nodo </w:t>
      </w:r>
      <w:r w:rsidRPr="00A75050">
        <w:rPr>
          <w:i/>
        </w:rPr>
        <w:t xml:space="preserve">Core </w:t>
      </w:r>
      <w:r w:rsidRPr="00A75050">
        <w:t>della rete TEN-T garantirebbe il giusto supporto ad un contesto economico che ruo</w:t>
      </w:r>
      <w:r w:rsidR="00710BA4">
        <w:t>ta attorno ai flussi da/per la Città M</w:t>
      </w:r>
      <w:r w:rsidRPr="00A75050">
        <w:t>etropolitana di Roma</w:t>
      </w:r>
      <w:r w:rsidRPr="0040652E">
        <w:t>;</w:t>
      </w:r>
    </w:p>
    <w:p w14:paraId="7580189B" w14:textId="77777777" w:rsidR="0040652E" w:rsidRPr="0040652E" w:rsidRDefault="0040652E" w:rsidP="00710BA4">
      <w:pPr>
        <w:pStyle w:val="Paragrafoelenco"/>
        <w:numPr>
          <w:ilvl w:val="0"/>
          <w:numId w:val="50"/>
        </w:numPr>
        <w:tabs>
          <w:tab w:val="left" w:pos="1134"/>
        </w:tabs>
        <w:ind w:left="0" w:firstLine="709"/>
      </w:pPr>
      <w:r w:rsidRPr="0040652E">
        <w:t>i</w:t>
      </w:r>
      <w:r w:rsidRPr="00A75050">
        <w:t>n aggiunta, il processo di revisione potrebbe permettere di introdurre un criterio di “specializzazione” delle linee ferroviarie ovvero di indicare le tratte rilevanti per il traffico passeggeri e merci che potrebbero non necessariamente coincidere, richiedendo investimenti e quindi contributi di ordine differente o permettere di sfruttare opportunità di finanziamento atte a completare interventi di alta velocità di rete come ad esempio in Calabria lungo la Salerno-Reggio Calabria</w:t>
      </w:r>
      <w:r w:rsidRPr="0040652E">
        <w:t>;</w:t>
      </w:r>
    </w:p>
    <w:p w14:paraId="4E3CF030" w14:textId="77777777" w:rsidR="006D3A71" w:rsidRDefault="0040652E" w:rsidP="00710BA4">
      <w:pPr>
        <w:pStyle w:val="Paragrafoelenco"/>
        <w:numPr>
          <w:ilvl w:val="0"/>
          <w:numId w:val="50"/>
        </w:numPr>
        <w:tabs>
          <w:tab w:val="left" w:pos="1134"/>
        </w:tabs>
        <w:ind w:left="0" w:firstLine="709"/>
      </w:pPr>
      <w:r w:rsidRPr="00F63DA4">
        <w:t>a</w:t>
      </w:r>
      <w:r w:rsidR="006D3A71" w:rsidRPr="00F63DA4">
        <w:t xml:space="preserve">ppare necessario, inoltre, dare piena attuazione alle potenzialità delle direttrici </w:t>
      </w:r>
      <w:r w:rsidRPr="00F63DA4">
        <w:t xml:space="preserve">trasversali </w:t>
      </w:r>
      <w:r w:rsidR="006D3A71" w:rsidRPr="00F63DA4">
        <w:t xml:space="preserve">ovest-est, collegamenti orizzontali tra gli assi nord-sud dei corridoi Baltico-Adriatico e Scandinavo-Mediterraneo, ad oggi non ricomprese nelle reti e che svolgono un ruolo importante per </w:t>
      </w:r>
      <w:r w:rsidR="006D3A71" w:rsidRPr="00F63DA4">
        <w:lastRenderedPageBreak/>
        <w:t xml:space="preserve">l’approvvigionamento e l’accesso ai </w:t>
      </w:r>
      <w:r w:rsidR="00751264">
        <w:t>mercati esteri, non solo delle R</w:t>
      </w:r>
      <w:r w:rsidR="006D3A71" w:rsidRPr="00F63DA4">
        <w:t>egioni che affacciano sul Mare Tirreno da un lato e sul Mare Adriatico e dei Balcani occidentali dall’altro</w:t>
      </w:r>
      <w:r w:rsidR="00751264">
        <w:t>,</w:t>
      </w:r>
      <w:r w:rsidR="006D3A71" w:rsidRPr="00F63DA4">
        <w:t xml:space="preserve"> ma di tutto il Mediterraneo e del Medio Oriente. Pertanto, a titolo </w:t>
      </w:r>
      <w:r w:rsidR="00751264">
        <w:t>esemplificativo</w:t>
      </w:r>
      <w:r w:rsidR="006D3A71" w:rsidRPr="00F63DA4">
        <w:t xml:space="preserve">, si potrebbe valutare l’opportunità di garantire una </w:t>
      </w:r>
      <w:r w:rsidR="00751264">
        <w:t>maggiore connettività alle aree</w:t>
      </w:r>
      <w:r w:rsidR="006D3A71" w:rsidRPr="00F63DA4">
        <w:t xml:space="preserve"> interne interessate del centro Italia e contestualmente creare un nuovo asse trasversale che possa collegare anche via mare l’Europa occidentale con i Balcani verso il </w:t>
      </w:r>
      <w:r w:rsidR="006D3A71" w:rsidRPr="00751264">
        <w:rPr>
          <w:i/>
        </w:rPr>
        <w:t>Far East</w:t>
      </w:r>
      <w:r w:rsidR="006D3A71" w:rsidRPr="00F63DA4">
        <w:t>.</w:t>
      </w:r>
      <w:r w:rsidR="00B27D51">
        <w:t xml:space="preserve"> </w:t>
      </w:r>
      <w:r w:rsidR="006D3A71">
        <w:t xml:space="preserve">Con lo stesso approccio potrebbe essere considerato anche il collegamento trasversale attualmente mancante tra il corridoio Scandinavo Mediterraneo e l’ipotetico prolungamento del corridoio Baltico-Adriatico, nelle Regioni meridionali, anche in piena coerenza con le tratte principali dei Corridoio Ferroviari Merci corrispondenti. </w:t>
      </w:r>
    </w:p>
    <w:p w14:paraId="12D74146" w14:textId="77777777" w:rsidR="006D3A71" w:rsidRDefault="006D3A71" w:rsidP="00710BA4">
      <w:pPr>
        <w:pStyle w:val="Paragrafoelenco"/>
        <w:ind w:left="0" w:firstLine="709"/>
      </w:pPr>
      <w:r>
        <w:t xml:space="preserve">La </w:t>
      </w:r>
      <w:proofErr w:type="gramStart"/>
      <w:r>
        <w:t>predetta</w:t>
      </w:r>
      <w:proofErr w:type="gramEnd"/>
      <w:r>
        <w:t xml:space="preserve"> esigenza di allineamento tra la programmazione nazionale e quella europea potrebbe infine essere valutata anche:</w:t>
      </w:r>
    </w:p>
    <w:p w14:paraId="66EFDA1E" w14:textId="77777777" w:rsidR="006D3A71" w:rsidRDefault="006D3A71" w:rsidP="00710BA4">
      <w:pPr>
        <w:pStyle w:val="Paragrafoelenco"/>
        <w:tabs>
          <w:tab w:val="left" w:pos="1134"/>
        </w:tabs>
        <w:ind w:left="0" w:firstLine="709"/>
      </w:pPr>
      <w:r>
        <w:t>•</w:t>
      </w:r>
      <w:r>
        <w:tab/>
        <w:t xml:space="preserve">nel riconoscimento delle Autorità di Sistema portuali come </w:t>
      </w:r>
      <w:r w:rsidRPr="00751264">
        <w:rPr>
          <w:i/>
        </w:rPr>
        <w:t>cluster</w:t>
      </w:r>
      <w:r>
        <w:t xml:space="preserve"> marittimi di rango prioritario; </w:t>
      </w:r>
    </w:p>
    <w:p w14:paraId="1A8F99E0" w14:textId="77777777" w:rsidR="006D3A71" w:rsidRDefault="006D3A71" w:rsidP="00710BA4">
      <w:pPr>
        <w:pStyle w:val="Paragrafoelenco"/>
        <w:tabs>
          <w:tab w:val="left" w:pos="1134"/>
        </w:tabs>
        <w:ind w:left="0" w:firstLine="709"/>
      </w:pPr>
      <w:r>
        <w:t>•</w:t>
      </w:r>
      <w:r>
        <w:tab/>
        <w:t xml:space="preserve">per quel che concerne i nodi urbani nazionali, nel riconoscere la “Città Metropolitana” di Firenze quale nodo urbano </w:t>
      </w:r>
      <w:r w:rsidRPr="00751264">
        <w:rPr>
          <w:i/>
        </w:rPr>
        <w:t>Core</w:t>
      </w:r>
      <w:r>
        <w:t xml:space="preserve"> lungo il corridoio Scandinavo – Mediterraneo nonché nodo aeroportuale </w:t>
      </w:r>
      <w:r w:rsidRPr="00751264">
        <w:rPr>
          <w:i/>
        </w:rPr>
        <w:t>Core</w:t>
      </w:r>
      <w:r>
        <w:t xml:space="preserve"> in funzione di un bacino di utenza che comprende un’area popolosa e ad alta attrattività turistica; </w:t>
      </w:r>
    </w:p>
    <w:p w14:paraId="120EEC36" w14:textId="77777777" w:rsidR="00103F80" w:rsidRDefault="006D3A71" w:rsidP="00710BA4">
      <w:pPr>
        <w:pStyle w:val="Paragrafoelenco"/>
        <w:tabs>
          <w:tab w:val="left" w:pos="1134"/>
        </w:tabs>
        <w:ind w:left="0" w:firstLine="709"/>
      </w:pPr>
      <w:r>
        <w:t>•</w:t>
      </w:r>
      <w:r>
        <w:tab/>
        <w:t>sempre in materia aeroportuale, nell’integrare la rete centrale aeroportuale con i quattro ulteriori aeroporti, oltre a Firenze, Bari, Catania, Lamezia Terme e Pisa. Si rappresenta inoltre l’opportunità di introdurre nella rete centrale la fattispecie di</w:t>
      </w:r>
      <w:r w:rsidRPr="00751264">
        <w:rPr>
          <w:i/>
        </w:rPr>
        <w:t xml:space="preserve"> cluster</w:t>
      </w:r>
      <w:r>
        <w:t xml:space="preserve"> aeroportuale, costituito dai sistemi e dalle reti aeroportuali nazionali</w:t>
      </w:r>
      <w:r w:rsidR="00B27D51">
        <w:t xml:space="preserve">, oltre ad altri nodi, hub multimodali ma anche sezioni di infrastrutture lineari, proposte sia per la rete </w:t>
      </w:r>
      <w:r w:rsidR="00B27D51" w:rsidRPr="00F63DA4">
        <w:rPr>
          <w:i/>
        </w:rPr>
        <w:t>Core</w:t>
      </w:r>
      <w:r w:rsidR="00B27D51">
        <w:t xml:space="preserve"> che </w:t>
      </w:r>
      <w:r w:rsidR="00B27D51" w:rsidRPr="00F63DA4">
        <w:rPr>
          <w:i/>
        </w:rPr>
        <w:t>Comprehensive</w:t>
      </w:r>
      <w:r w:rsidR="00B27D51">
        <w:t>, che risponderanno ai requisiti metodologici imposti dalla revisione;</w:t>
      </w:r>
    </w:p>
    <w:p w14:paraId="6188922E" w14:textId="77777777" w:rsidR="00103F80" w:rsidRDefault="00751264" w:rsidP="00F63DA4">
      <w:pPr>
        <w:pStyle w:val="Paragrafoelenco"/>
        <w:ind w:left="0" w:firstLine="709"/>
      </w:pPr>
      <w:r>
        <w:t>Infine, si pot</w:t>
      </w:r>
      <w:r w:rsidR="00103F80">
        <w:t>rebbe cogliere l’opportunità di evolvere il concetto di Autostrade</w:t>
      </w:r>
      <w:r w:rsidR="0039631A">
        <w:t xml:space="preserve"> </w:t>
      </w:r>
      <w:r w:rsidR="00103F80">
        <w:t>del Mare: si sta infatti assistendo al superamento del numero di progetti nel settore</w:t>
      </w:r>
      <w:r w:rsidR="0039631A">
        <w:t xml:space="preserve"> </w:t>
      </w:r>
      <w:r w:rsidR="00103F80">
        <w:t>marittimo rispetto a quello del settore ferroviario, una prova concreta del ruolo</w:t>
      </w:r>
      <w:r w:rsidR="0039631A">
        <w:t xml:space="preserve"> </w:t>
      </w:r>
      <w:r w:rsidR="00103F80">
        <w:t>sempre crescente e prioritario che questo settore sta assumendo, si ha quindi la</w:t>
      </w:r>
      <w:r w:rsidR="0039631A">
        <w:t xml:space="preserve"> </w:t>
      </w:r>
      <w:r w:rsidR="00103F80">
        <w:t>convinzione che vi sia la necessità di avviare un processo di trasformazione del concetto</w:t>
      </w:r>
      <w:r w:rsidR="0039631A">
        <w:t xml:space="preserve"> </w:t>
      </w:r>
      <w:r>
        <w:t>di “p</w:t>
      </w:r>
      <w:r w:rsidR="00103F80">
        <w:t>orto”, concentrandosi sugli itinerari marittimi multimodali più efficienti,</w:t>
      </w:r>
      <w:r w:rsidR="0039631A">
        <w:t xml:space="preserve"> </w:t>
      </w:r>
      <w:r w:rsidR="00103F80">
        <w:t>senza soluzione di continuità, tenendo conto anche del traffico R</w:t>
      </w:r>
      <w:r w:rsidR="00E85D75">
        <w:t>o</w:t>
      </w:r>
      <w:r w:rsidR="00103F80">
        <w:t>-P</w:t>
      </w:r>
      <w:r w:rsidR="00E85D75">
        <w:t>ax</w:t>
      </w:r>
      <w:r w:rsidR="00103F80">
        <w:t>, della mobilità</w:t>
      </w:r>
      <w:r w:rsidR="0039631A">
        <w:t xml:space="preserve"> </w:t>
      </w:r>
      <w:r w:rsidR="00103F80">
        <w:t>marittima di dimensione locale al fine di integrare la funzione di continuità</w:t>
      </w:r>
      <w:r w:rsidR="0039631A">
        <w:t xml:space="preserve">  </w:t>
      </w:r>
      <w:r w:rsidR="00103F80">
        <w:t>territoriale della tratta marittima, nonché l’eleggibilità di tratte non predefinite</w:t>
      </w:r>
      <w:r w:rsidR="0039631A">
        <w:t xml:space="preserve"> </w:t>
      </w:r>
      <w:r w:rsidR="00103F80">
        <w:t>ma svincolate al fine di poter favorire il loro sviluppo e il loro finanziamento, anche</w:t>
      </w:r>
      <w:r w:rsidR="0039631A">
        <w:t xml:space="preserve"> </w:t>
      </w:r>
      <w:r w:rsidR="00103F80">
        <w:t>considerando rotte all'interno di uno stesso paese.</w:t>
      </w:r>
    </w:p>
    <w:p w14:paraId="4F5CE240" w14:textId="77777777" w:rsidR="00E35FBF" w:rsidRDefault="00B27D51" w:rsidP="00F63DA4">
      <w:pPr>
        <w:pStyle w:val="Paragrafoelenco"/>
        <w:ind w:left="0" w:firstLine="709"/>
      </w:pPr>
      <w:r>
        <w:t xml:space="preserve">Come detto, il </w:t>
      </w:r>
      <w:r w:rsidRPr="00B27D51">
        <w:t>lancio della nuova proposta legislativa sulla revis</w:t>
      </w:r>
      <w:r>
        <w:t xml:space="preserve">ione delle reti civili TEN-T </w:t>
      </w:r>
      <w:r w:rsidRPr="00B27D51">
        <w:t>potrà</w:t>
      </w:r>
      <w:r>
        <w:t>, altresì includere,</w:t>
      </w:r>
      <w:r w:rsidRPr="00B27D51">
        <w:t xml:space="preserve"> anche sezioni o nodi di rilevanza duale (sia miliare che civile) in considerazione delle priorità e condizioni della Mobilità Militare</w:t>
      </w:r>
      <w:r>
        <w:t xml:space="preserve"> qualora tale criterio comparisse nella metodologia posta alla base del riesame.</w:t>
      </w:r>
    </w:p>
    <w:p w14:paraId="39608E89" w14:textId="77777777" w:rsidR="00BE04A6" w:rsidRDefault="0039631A" w:rsidP="00514CAB">
      <w:pPr>
        <w:pStyle w:val="Paragrafoelenco"/>
        <w:ind w:left="0" w:firstLine="709"/>
      </w:pPr>
      <w:r>
        <w:t>Va tuttavia precisato che seppur lo Stato membro resti</w:t>
      </w:r>
      <w:r w:rsidR="00E85D75">
        <w:t>,</w:t>
      </w:r>
      <w:r>
        <w:t xml:space="preserve"> in principio</w:t>
      </w:r>
      <w:r w:rsidR="00E85D75">
        <w:t>,</w:t>
      </w:r>
      <w:r>
        <w:t xml:space="preserve"> libero di determinare, d’intesa con le autorità europee, i singoli progetti infrastrutturali potenzialmente eleggibili a finanziamento, l’inclusione nella rete di nodi e sezioni induce e comporta l’obbligo verso l’adeguamento ai requisiti tecnici identificati negli atti comunitari, entro le scadenze del 2030 per la rete Centrale (</w:t>
      </w:r>
      <w:r w:rsidRPr="000E3C84">
        <w:rPr>
          <w:i/>
        </w:rPr>
        <w:t>Core</w:t>
      </w:r>
      <w:r>
        <w:t>) e 2050</w:t>
      </w:r>
      <w:r w:rsidR="00E85D75">
        <w:t xml:space="preserve"> </w:t>
      </w:r>
      <w:r>
        <w:t>per quella Globale (</w:t>
      </w:r>
      <w:r w:rsidRPr="000E3C84">
        <w:rPr>
          <w:i/>
        </w:rPr>
        <w:t>Comprehensive</w:t>
      </w:r>
      <w:r>
        <w:t xml:space="preserve">). </w:t>
      </w:r>
      <w:r w:rsidR="002129C3">
        <w:t xml:space="preserve"> </w:t>
      </w:r>
    </w:p>
    <w:p w14:paraId="4848FD14" w14:textId="77777777" w:rsidR="00BE04A6" w:rsidRDefault="00BE04A6" w:rsidP="0068514D">
      <w:pPr>
        <w:pStyle w:val="Paragrafoelenco"/>
        <w:ind w:left="0"/>
      </w:pPr>
    </w:p>
    <w:p w14:paraId="3321C3E7" w14:textId="77777777" w:rsidR="00710BA4" w:rsidRDefault="00710BA4" w:rsidP="0068514D">
      <w:pPr>
        <w:pStyle w:val="Paragrafoelenco"/>
        <w:ind w:left="0"/>
      </w:pPr>
    </w:p>
    <w:p w14:paraId="31655461" w14:textId="77777777" w:rsidR="007907A0" w:rsidRDefault="00C6166A">
      <w:pPr>
        <w:jc w:val="both"/>
        <w:rPr>
          <w:b/>
          <w:bCs/>
        </w:rPr>
      </w:pPr>
      <w:r>
        <w:rPr>
          <w:b/>
          <w:bCs/>
        </w:rPr>
        <w:t>XI.</w:t>
      </w:r>
      <w:r w:rsidR="00DC2F39">
        <w:rPr>
          <w:b/>
          <w:bCs/>
        </w:rPr>
        <w:t>4.</w:t>
      </w:r>
      <w:r w:rsidR="00A76B30">
        <w:rPr>
          <w:b/>
          <w:bCs/>
        </w:rPr>
        <w:t>4</w:t>
      </w:r>
      <w:r>
        <w:rPr>
          <w:b/>
          <w:bCs/>
        </w:rPr>
        <w:t xml:space="preserve"> - </w:t>
      </w:r>
      <w:r w:rsidR="001670A2">
        <w:rPr>
          <w:b/>
          <w:bCs/>
        </w:rPr>
        <w:t>P</w:t>
      </w:r>
      <w:r>
        <w:rPr>
          <w:b/>
          <w:bCs/>
        </w:rPr>
        <w:t>artecipazione dell’Italia</w:t>
      </w:r>
      <w:r w:rsidR="001670A2">
        <w:rPr>
          <w:b/>
          <w:bCs/>
        </w:rPr>
        <w:t xml:space="preserve"> </w:t>
      </w:r>
      <w:r w:rsidR="007907A0">
        <w:rPr>
          <w:b/>
          <w:bCs/>
        </w:rPr>
        <w:t>alla Programmazione 2014-2020/2023</w:t>
      </w:r>
    </w:p>
    <w:p w14:paraId="1762D074" w14:textId="77777777" w:rsidR="00C609A1" w:rsidRDefault="00C609A1" w:rsidP="00343FB0">
      <w:pPr>
        <w:jc w:val="both"/>
        <w:rPr>
          <w:b/>
          <w:bCs/>
        </w:rPr>
      </w:pPr>
    </w:p>
    <w:p w14:paraId="44E3A2FE" w14:textId="77777777" w:rsidR="00343FB0" w:rsidRPr="008627B9" w:rsidRDefault="00343FB0" w:rsidP="00343FB0">
      <w:pPr>
        <w:jc w:val="both"/>
        <w:rPr>
          <w:b/>
          <w:bCs/>
        </w:rPr>
      </w:pPr>
      <w:r>
        <w:rPr>
          <w:b/>
          <w:bCs/>
        </w:rPr>
        <w:t xml:space="preserve">XI.4.4.1 - </w:t>
      </w:r>
      <w:r w:rsidRPr="008627B9">
        <w:rPr>
          <w:b/>
          <w:bCs/>
        </w:rPr>
        <w:t xml:space="preserve">Bando CEF Transport 2014 </w:t>
      </w:r>
    </w:p>
    <w:p w14:paraId="6BF0D498" w14:textId="77777777" w:rsidR="00710BA4" w:rsidRDefault="00710BA4" w:rsidP="00343FB0">
      <w:pPr>
        <w:ind w:firstLine="708"/>
        <w:jc w:val="both"/>
      </w:pPr>
    </w:p>
    <w:p w14:paraId="1118C1C2" w14:textId="77777777" w:rsidR="00343FB0" w:rsidRPr="008627B9" w:rsidRDefault="00343FB0" w:rsidP="00343FB0">
      <w:pPr>
        <w:ind w:firstLine="708"/>
        <w:jc w:val="both"/>
      </w:pPr>
      <w:r w:rsidRPr="008627B9">
        <w:t xml:space="preserve">Il primo bando del programma CEF, pubblicato a </w:t>
      </w:r>
      <w:proofErr w:type="gramStart"/>
      <w:r w:rsidRPr="008627B9">
        <w:t>Novembre</w:t>
      </w:r>
      <w:proofErr w:type="gramEnd"/>
      <w:r w:rsidRPr="008627B9">
        <w:t xml:space="preserve"> 2014, ha messo a disposizione 11,93 miliardi di euro, suddivisi tra bando multi-annuale (</w:t>
      </w:r>
      <w:r w:rsidR="00B76C6E">
        <w:rPr>
          <w:i/>
          <w:iCs/>
        </w:rPr>
        <w:t>G</w:t>
      </w:r>
      <w:r w:rsidRPr="008627B9">
        <w:rPr>
          <w:i/>
          <w:iCs/>
        </w:rPr>
        <w:t>eneral</w:t>
      </w:r>
      <w:r w:rsidRPr="008627B9">
        <w:t xml:space="preserve"> e </w:t>
      </w:r>
      <w:proofErr w:type="spellStart"/>
      <w:r w:rsidR="00B76C6E">
        <w:rPr>
          <w:i/>
          <w:iCs/>
        </w:rPr>
        <w:t>C</w:t>
      </w:r>
      <w:r w:rsidRPr="008627B9">
        <w:rPr>
          <w:i/>
          <w:iCs/>
        </w:rPr>
        <w:t>ohesion</w:t>
      </w:r>
      <w:proofErr w:type="spellEnd"/>
      <w:r w:rsidRPr="008627B9">
        <w:t xml:space="preserve">) e annuale secondo quanto indicato nella </w:t>
      </w:r>
      <w:proofErr w:type="spellStart"/>
      <w:r w:rsidRPr="008627B9">
        <w:t>Tab</w:t>
      </w:r>
      <w:proofErr w:type="spellEnd"/>
      <w:r w:rsidRPr="008627B9">
        <w:t>. XI.4.4.1.1.</w:t>
      </w:r>
    </w:p>
    <w:p w14:paraId="7DCDF0BC" w14:textId="77777777" w:rsidR="00343FB0" w:rsidRPr="008627B9" w:rsidRDefault="00343FB0" w:rsidP="00343FB0">
      <w:pPr>
        <w:ind w:firstLine="708"/>
        <w:jc w:val="both"/>
      </w:pPr>
    </w:p>
    <w:p w14:paraId="60996484" w14:textId="77777777" w:rsidR="00343FB0" w:rsidRDefault="00343FB0" w:rsidP="00343FB0">
      <w:pPr>
        <w:ind w:left="284" w:hanging="284"/>
        <w:rPr>
          <w:b/>
          <w:bCs/>
        </w:rPr>
      </w:pPr>
      <w:proofErr w:type="spellStart"/>
      <w:r w:rsidRPr="008627B9">
        <w:rPr>
          <w:b/>
          <w:bCs/>
        </w:rPr>
        <w:t>Tab</w:t>
      </w:r>
      <w:proofErr w:type="spellEnd"/>
      <w:r w:rsidR="001B6714">
        <w:rPr>
          <w:b/>
          <w:bCs/>
        </w:rPr>
        <w:t>.</w:t>
      </w:r>
      <w:r w:rsidRPr="008627B9">
        <w:rPr>
          <w:b/>
          <w:bCs/>
        </w:rPr>
        <w:t xml:space="preserve"> XI.4.4.1.1 - Dotazione finanziaria Bando CEF </w:t>
      </w:r>
      <w:proofErr w:type="spellStart"/>
      <w:r w:rsidRPr="008627B9">
        <w:rPr>
          <w:b/>
          <w:bCs/>
        </w:rPr>
        <w:t>Transport</w:t>
      </w:r>
      <w:proofErr w:type="spellEnd"/>
      <w:r w:rsidRPr="008627B9">
        <w:rPr>
          <w:b/>
          <w:bCs/>
        </w:rPr>
        <w:t xml:space="preserve"> 2014</w:t>
      </w:r>
    </w:p>
    <w:p w14:paraId="77B1FE7B" w14:textId="77777777" w:rsidR="00710BA4" w:rsidRPr="008627B9" w:rsidRDefault="00710BA4" w:rsidP="00343FB0">
      <w:pPr>
        <w:ind w:left="284" w:hanging="284"/>
        <w:rPr>
          <w:b/>
          <w:bCs/>
        </w:rPr>
      </w:pPr>
    </w:p>
    <w:tbl>
      <w:tblPr>
        <w:tblStyle w:val="TableNormal1"/>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073"/>
        <w:gridCol w:w="3566"/>
      </w:tblGrid>
      <w:tr w:rsidR="00343FB0" w:rsidRPr="00C609A1" w14:paraId="4D98B7D4" w14:textId="77777777" w:rsidTr="00343FB0">
        <w:trPr>
          <w:trHeight w:val="101"/>
        </w:trPr>
        <w:tc>
          <w:tcPr>
            <w:tcW w:w="6073"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27CAF6C" w14:textId="77777777" w:rsidR="00343FB0" w:rsidRPr="00F63DA4" w:rsidRDefault="00343FB0" w:rsidP="00343FB0">
            <w:pPr>
              <w:jc w:val="both"/>
              <w:rPr>
                <w:sz w:val="22"/>
                <w:szCs w:val="22"/>
              </w:rPr>
            </w:pPr>
            <w:r w:rsidRPr="00F63DA4">
              <w:rPr>
                <w:b/>
                <w:bCs/>
                <w:sz w:val="22"/>
                <w:szCs w:val="22"/>
              </w:rPr>
              <w:t>Bando</w:t>
            </w:r>
          </w:p>
        </w:tc>
        <w:tc>
          <w:tcPr>
            <w:tcW w:w="3566"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46263BB" w14:textId="77777777" w:rsidR="00343FB0" w:rsidRPr="00F63DA4" w:rsidRDefault="00343FB0" w:rsidP="00343FB0">
            <w:pPr>
              <w:jc w:val="both"/>
              <w:rPr>
                <w:sz w:val="22"/>
                <w:szCs w:val="22"/>
              </w:rPr>
            </w:pPr>
            <w:r w:rsidRPr="00F63DA4">
              <w:rPr>
                <w:b/>
                <w:bCs/>
                <w:sz w:val="22"/>
                <w:szCs w:val="22"/>
              </w:rPr>
              <w:t>Budget call (miliardi di €)</w:t>
            </w:r>
          </w:p>
        </w:tc>
      </w:tr>
      <w:tr w:rsidR="00343FB0" w:rsidRPr="00C609A1" w14:paraId="6DAFD50B" w14:textId="77777777" w:rsidTr="00710BA4">
        <w:trPr>
          <w:trHeight w:val="200"/>
        </w:trPr>
        <w:tc>
          <w:tcPr>
            <w:tcW w:w="6073" w:type="dxa"/>
            <w:tcBorders>
              <w:top w:val="single" w:sz="4" w:space="0" w:color="000000"/>
              <w:left w:val="nil"/>
              <w:bottom w:val="nil"/>
              <w:right w:val="nil"/>
            </w:tcBorders>
            <w:shd w:val="clear" w:color="auto" w:fill="auto"/>
            <w:tcMar>
              <w:top w:w="80" w:type="dxa"/>
              <w:left w:w="80" w:type="dxa"/>
              <w:bottom w:w="80" w:type="dxa"/>
              <w:right w:w="80" w:type="dxa"/>
            </w:tcMar>
          </w:tcPr>
          <w:p w14:paraId="76D12801"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Pr="00450E48">
              <w:rPr>
                <w:i/>
                <w:sz w:val="22"/>
                <w:szCs w:val="22"/>
                <w:lang w:val="en-US"/>
              </w:rPr>
              <w:t>F</w:t>
            </w:r>
            <w:r w:rsidR="0023756F" w:rsidRPr="00450E48">
              <w:rPr>
                <w:i/>
                <w:sz w:val="22"/>
                <w:szCs w:val="22"/>
                <w:lang w:val="en-US"/>
              </w:rPr>
              <w:t xml:space="preserve">unding </w:t>
            </w:r>
            <w:r w:rsidRPr="00450E48">
              <w:rPr>
                <w:i/>
                <w:sz w:val="22"/>
                <w:szCs w:val="22"/>
                <w:lang w:val="en-US"/>
              </w:rPr>
              <w:t>O</w:t>
            </w:r>
            <w:r w:rsidR="0023756F" w:rsidRPr="00450E48">
              <w:rPr>
                <w:i/>
                <w:sz w:val="22"/>
                <w:szCs w:val="22"/>
                <w:lang w:val="en-US"/>
              </w:rPr>
              <w:t>bjective</w:t>
            </w:r>
            <w:r w:rsidRPr="00450E48">
              <w:rPr>
                <w:sz w:val="22"/>
                <w:szCs w:val="22"/>
                <w:lang w:val="en-US"/>
              </w:rPr>
              <w:t xml:space="preserve"> 1-2-3)</w:t>
            </w:r>
          </w:p>
        </w:tc>
        <w:tc>
          <w:tcPr>
            <w:tcW w:w="3566" w:type="dxa"/>
            <w:tcBorders>
              <w:top w:val="single" w:sz="4" w:space="0" w:color="000000"/>
              <w:left w:val="nil"/>
              <w:bottom w:val="nil"/>
              <w:right w:val="nil"/>
            </w:tcBorders>
            <w:shd w:val="clear" w:color="auto" w:fill="auto"/>
            <w:tcMar>
              <w:top w:w="80" w:type="dxa"/>
              <w:left w:w="80" w:type="dxa"/>
              <w:bottom w:w="80" w:type="dxa"/>
              <w:right w:w="80" w:type="dxa"/>
            </w:tcMar>
          </w:tcPr>
          <w:p w14:paraId="50F8A3C6" w14:textId="77777777" w:rsidR="00343FB0" w:rsidRPr="00F63DA4" w:rsidRDefault="00343FB0" w:rsidP="00343FB0">
            <w:pPr>
              <w:jc w:val="center"/>
              <w:rPr>
                <w:sz w:val="22"/>
                <w:szCs w:val="22"/>
              </w:rPr>
            </w:pPr>
            <w:r w:rsidRPr="00F63DA4">
              <w:rPr>
                <w:sz w:val="22"/>
                <w:szCs w:val="22"/>
              </w:rPr>
              <w:t>7,00</w:t>
            </w:r>
          </w:p>
        </w:tc>
      </w:tr>
      <w:tr w:rsidR="00343FB0" w:rsidRPr="00C609A1" w14:paraId="451014E3" w14:textId="77777777" w:rsidTr="00710BA4">
        <w:trPr>
          <w:trHeight w:val="75"/>
        </w:trPr>
        <w:tc>
          <w:tcPr>
            <w:tcW w:w="6073" w:type="dxa"/>
            <w:tcBorders>
              <w:top w:val="nil"/>
              <w:left w:val="nil"/>
              <w:bottom w:val="nil"/>
              <w:right w:val="nil"/>
            </w:tcBorders>
            <w:shd w:val="clear" w:color="auto" w:fill="auto"/>
            <w:tcMar>
              <w:top w:w="80" w:type="dxa"/>
              <w:left w:w="80" w:type="dxa"/>
              <w:bottom w:w="80" w:type="dxa"/>
              <w:right w:w="80" w:type="dxa"/>
            </w:tcMar>
          </w:tcPr>
          <w:p w14:paraId="0D8CF957"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Cohesion envelope</w:t>
            </w:r>
            <w:r w:rsidRPr="00450E48">
              <w:rPr>
                <w:sz w:val="22"/>
                <w:szCs w:val="22"/>
                <w:lang w:val="en-US"/>
              </w:rPr>
              <w:t xml:space="preserve"> (</w:t>
            </w:r>
            <w:r w:rsidR="0023756F" w:rsidRPr="00B340E0">
              <w:rPr>
                <w:i/>
                <w:sz w:val="22"/>
                <w:szCs w:val="22"/>
                <w:lang w:val="en-US"/>
              </w:rPr>
              <w:t>Funding Objective</w:t>
            </w:r>
            <w:r w:rsidRPr="00450E48">
              <w:rPr>
                <w:sz w:val="22"/>
                <w:szCs w:val="22"/>
                <w:lang w:val="en-US"/>
              </w:rPr>
              <w:t xml:space="preserve"> 1-2-3)</w:t>
            </w:r>
          </w:p>
        </w:tc>
        <w:tc>
          <w:tcPr>
            <w:tcW w:w="3566" w:type="dxa"/>
            <w:tcBorders>
              <w:top w:val="nil"/>
              <w:left w:val="nil"/>
              <w:bottom w:val="nil"/>
              <w:right w:val="nil"/>
            </w:tcBorders>
            <w:shd w:val="clear" w:color="auto" w:fill="auto"/>
            <w:tcMar>
              <w:top w:w="80" w:type="dxa"/>
              <w:left w:w="80" w:type="dxa"/>
              <w:bottom w:w="80" w:type="dxa"/>
              <w:right w:w="80" w:type="dxa"/>
            </w:tcMar>
          </w:tcPr>
          <w:p w14:paraId="74463945" w14:textId="77777777" w:rsidR="00343FB0" w:rsidRPr="00F63DA4" w:rsidRDefault="00343FB0" w:rsidP="00343FB0">
            <w:pPr>
              <w:jc w:val="center"/>
              <w:rPr>
                <w:sz w:val="22"/>
                <w:szCs w:val="22"/>
              </w:rPr>
            </w:pPr>
            <w:r w:rsidRPr="00F63DA4">
              <w:rPr>
                <w:sz w:val="22"/>
                <w:szCs w:val="22"/>
              </w:rPr>
              <w:t>4,00</w:t>
            </w:r>
          </w:p>
        </w:tc>
      </w:tr>
      <w:tr w:rsidR="00343FB0" w:rsidRPr="00C609A1" w14:paraId="69C73C0C" w14:textId="77777777" w:rsidTr="00343FB0">
        <w:trPr>
          <w:trHeight w:val="295"/>
        </w:trPr>
        <w:tc>
          <w:tcPr>
            <w:tcW w:w="6073" w:type="dxa"/>
            <w:tcBorders>
              <w:top w:val="nil"/>
              <w:left w:val="nil"/>
              <w:bottom w:val="single" w:sz="4" w:space="0" w:color="000000"/>
              <w:right w:val="nil"/>
            </w:tcBorders>
            <w:shd w:val="clear" w:color="auto" w:fill="auto"/>
            <w:tcMar>
              <w:top w:w="80" w:type="dxa"/>
              <w:left w:w="80" w:type="dxa"/>
              <w:bottom w:w="80" w:type="dxa"/>
              <w:right w:w="80" w:type="dxa"/>
            </w:tcMar>
          </w:tcPr>
          <w:p w14:paraId="14FE1605" w14:textId="77777777" w:rsidR="00343FB0" w:rsidRPr="00F63DA4" w:rsidRDefault="00343FB0" w:rsidP="00343FB0">
            <w:pPr>
              <w:jc w:val="both"/>
              <w:rPr>
                <w:sz w:val="22"/>
                <w:szCs w:val="22"/>
              </w:rPr>
            </w:pPr>
            <w:r w:rsidRPr="00F63DA4">
              <w:rPr>
                <w:sz w:val="22"/>
                <w:szCs w:val="22"/>
              </w:rPr>
              <w:lastRenderedPageBreak/>
              <w:t>Annuale</w:t>
            </w:r>
          </w:p>
        </w:tc>
        <w:tc>
          <w:tcPr>
            <w:tcW w:w="3566" w:type="dxa"/>
            <w:tcBorders>
              <w:top w:val="nil"/>
              <w:left w:val="nil"/>
              <w:bottom w:val="single" w:sz="4" w:space="0" w:color="000000"/>
              <w:right w:val="nil"/>
            </w:tcBorders>
            <w:shd w:val="clear" w:color="auto" w:fill="auto"/>
            <w:tcMar>
              <w:top w:w="80" w:type="dxa"/>
              <w:left w:w="80" w:type="dxa"/>
              <w:bottom w:w="80" w:type="dxa"/>
              <w:right w:w="80" w:type="dxa"/>
            </w:tcMar>
          </w:tcPr>
          <w:p w14:paraId="729F7137" w14:textId="77777777" w:rsidR="00343FB0" w:rsidRPr="00F63DA4" w:rsidRDefault="00343FB0" w:rsidP="00343FB0">
            <w:pPr>
              <w:jc w:val="center"/>
              <w:rPr>
                <w:sz w:val="22"/>
                <w:szCs w:val="22"/>
              </w:rPr>
            </w:pPr>
            <w:r w:rsidRPr="00F63DA4">
              <w:rPr>
                <w:sz w:val="22"/>
                <w:szCs w:val="22"/>
              </w:rPr>
              <w:t>0,93</w:t>
            </w:r>
          </w:p>
        </w:tc>
      </w:tr>
      <w:tr w:rsidR="00343FB0" w:rsidRPr="00C609A1" w14:paraId="199A8C74" w14:textId="77777777" w:rsidTr="00710BA4">
        <w:trPr>
          <w:trHeight w:val="34"/>
        </w:trPr>
        <w:tc>
          <w:tcPr>
            <w:tcW w:w="6073"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B5775F3" w14:textId="77777777" w:rsidR="00343FB0" w:rsidRPr="00F63DA4" w:rsidRDefault="00343FB0" w:rsidP="00343FB0">
            <w:pPr>
              <w:jc w:val="both"/>
              <w:rPr>
                <w:sz w:val="22"/>
                <w:szCs w:val="22"/>
              </w:rPr>
            </w:pPr>
            <w:r w:rsidRPr="00F63DA4">
              <w:rPr>
                <w:b/>
                <w:bCs/>
                <w:sz w:val="22"/>
                <w:szCs w:val="22"/>
              </w:rPr>
              <w:t>Totale</w:t>
            </w:r>
          </w:p>
        </w:tc>
        <w:tc>
          <w:tcPr>
            <w:tcW w:w="3566"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55499BD" w14:textId="77777777" w:rsidR="00343FB0" w:rsidRPr="00F63DA4" w:rsidRDefault="00343FB0" w:rsidP="00343FB0">
            <w:pPr>
              <w:jc w:val="center"/>
              <w:rPr>
                <w:sz w:val="22"/>
                <w:szCs w:val="22"/>
              </w:rPr>
            </w:pPr>
            <w:r w:rsidRPr="00F63DA4">
              <w:rPr>
                <w:b/>
                <w:bCs/>
                <w:sz w:val="22"/>
                <w:szCs w:val="22"/>
              </w:rPr>
              <w:t>11,93</w:t>
            </w:r>
          </w:p>
        </w:tc>
      </w:tr>
    </w:tbl>
    <w:p w14:paraId="590AF8BC" w14:textId="77777777" w:rsidR="00343FB0" w:rsidRPr="008627B9" w:rsidRDefault="00343FB0" w:rsidP="00343FB0">
      <w:pPr>
        <w:ind w:left="284" w:hanging="284"/>
        <w:jc w:val="both"/>
        <w:rPr>
          <w:sz w:val="18"/>
          <w:szCs w:val="18"/>
        </w:rPr>
      </w:pPr>
      <w:r w:rsidRPr="008627B9">
        <w:rPr>
          <w:i/>
          <w:iCs/>
          <w:sz w:val="18"/>
          <w:szCs w:val="18"/>
        </w:rPr>
        <w:t>Fonte</w:t>
      </w:r>
      <w:r w:rsidR="006E3148">
        <w:rPr>
          <w:sz w:val="18"/>
          <w:szCs w:val="18"/>
        </w:rPr>
        <w:t>: Sito INEA</w:t>
      </w:r>
      <w:r w:rsidR="00412E5A">
        <w:rPr>
          <w:sz w:val="18"/>
          <w:szCs w:val="18"/>
        </w:rPr>
        <w:t>.</w:t>
      </w:r>
    </w:p>
    <w:p w14:paraId="14F51FCA" w14:textId="77777777" w:rsidR="00343FB0" w:rsidRDefault="00343FB0" w:rsidP="00343FB0">
      <w:pPr>
        <w:jc w:val="both"/>
      </w:pPr>
    </w:p>
    <w:p w14:paraId="1AD1338B" w14:textId="77777777" w:rsidR="001B6714" w:rsidRPr="008627B9" w:rsidRDefault="001B6714" w:rsidP="00343FB0">
      <w:pPr>
        <w:jc w:val="both"/>
      </w:pPr>
    </w:p>
    <w:p w14:paraId="66B326F2" w14:textId="77777777" w:rsidR="00343FB0" w:rsidRPr="008627B9" w:rsidRDefault="00343FB0" w:rsidP="00343FB0">
      <w:pPr>
        <w:ind w:firstLine="708"/>
        <w:jc w:val="both"/>
      </w:pPr>
      <w:r w:rsidRPr="00710BA4">
        <w:rPr>
          <w:color w:val="auto"/>
        </w:rPr>
        <w:t>In totale sono state presentate</w:t>
      </w:r>
      <w:r w:rsidR="0023756F" w:rsidRPr="00710BA4">
        <w:rPr>
          <w:color w:val="auto"/>
        </w:rPr>
        <w:t xml:space="preserve"> dagli Stati membri</w:t>
      </w:r>
      <w:r w:rsidRPr="00710BA4">
        <w:rPr>
          <w:color w:val="auto"/>
        </w:rPr>
        <w:t xml:space="preserve"> 681 proposte eleggibili delle quali 276 sono state poi finanziate con 13,01 miliardi di euro complessivi. La Commissione Europea ha approvato in particolare 33 </w:t>
      </w:r>
      <w:r w:rsidR="00981D1E" w:rsidRPr="00710BA4">
        <w:rPr>
          <w:color w:val="auto"/>
        </w:rPr>
        <w:t xml:space="preserve">Azioni </w:t>
      </w:r>
      <w:r w:rsidRPr="00710BA4">
        <w:rPr>
          <w:color w:val="auto"/>
        </w:rPr>
        <w:t xml:space="preserve">su 83 presentate dall’Italia, accordando fondi per </w:t>
      </w:r>
      <w:r w:rsidR="004706D9" w:rsidRPr="00710BA4">
        <w:rPr>
          <w:color w:val="auto"/>
        </w:rPr>
        <w:t xml:space="preserve">1,22 </w:t>
      </w:r>
      <w:r w:rsidRPr="00710BA4">
        <w:rPr>
          <w:color w:val="auto"/>
        </w:rPr>
        <w:t xml:space="preserve">miliardi di euro e posizionando, così, il Paese al terzo posto tra i maggiori beneficiari di contributi del primo bando. Nella Tabella XI.4.4.1.2 si riportano, sinteticamente, i dati </w:t>
      </w:r>
      <w:r w:rsidRPr="008627B9">
        <w:t>complessivi di cui sopra:</w:t>
      </w:r>
    </w:p>
    <w:p w14:paraId="01EA0EC0" w14:textId="77777777" w:rsidR="00343FB0" w:rsidRPr="008627B9" w:rsidRDefault="00343FB0" w:rsidP="00343FB0">
      <w:pPr>
        <w:ind w:firstLine="708"/>
        <w:jc w:val="both"/>
      </w:pPr>
    </w:p>
    <w:p w14:paraId="0B448065" w14:textId="77777777" w:rsidR="00343FB0" w:rsidRDefault="00343FB0" w:rsidP="00343FB0">
      <w:pPr>
        <w:ind w:left="284" w:hanging="284"/>
        <w:rPr>
          <w:b/>
          <w:bCs/>
        </w:rPr>
      </w:pPr>
      <w:proofErr w:type="spellStart"/>
      <w:r w:rsidRPr="008627B9">
        <w:rPr>
          <w:b/>
          <w:bCs/>
        </w:rPr>
        <w:t>Tab</w:t>
      </w:r>
      <w:proofErr w:type="spellEnd"/>
      <w:r w:rsidR="001B6714">
        <w:rPr>
          <w:b/>
          <w:bCs/>
        </w:rPr>
        <w:t>.</w:t>
      </w:r>
      <w:r w:rsidRPr="008627B9">
        <w:rPr>
          <w:b/>
          <w:bCs/>
        </w:rPr>
        <w:t xml:space="preserve"> XI.4.4.1.2 - Sintesi Bando CEF </w:t>
      </w:r>
      <w:proofErr w:type="spellStart"/>
      <w:r w:rsidRPr="008627B9">
        <w:rPr>
          <w:b/>
          <w:bCs/>
        </w:rPr>
        <w:t>Transport</w:t>
      </w:r>
      <w:proofErr w:type="spellEnd"/>
      <w:r w:rsidRPr="008627B9">
        <w:rPr>
          <w:b/>
          <w:bCs/>
        </w:rPr>
        <w:t xml:space="preserve"> 2014</w:t>
      </w:r>
    </w:p>
    <w:p w14:paraId="5DFE4F59" w14:textId="77777777" w:rsidR="00710BA4" w:rsidRPr="008627B9" w:rsidRDefault="00710BA4" w:rsidP="00343FB0">
      <w:pPr>
        <w:ind w:left="284" w:hanging="284"/>
        <w:rPr>
          <w:b/>
          <w:bCs/>
        </w:rPr>
      </w:pPr>
    </w:p>
    <w:tbl>
      <w:tblPr>
        <w:tblStyle w:val="TableNormal1"/>
        <w:tblW w:w="96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62"/>
        <w:gridCol w:w="2481"/>
        <w:gridCol w:w="2486"/>
        <w:gridCol w:w="3210"/>
      </w:tblGrid>
      <w:tr w:rsidR="00343FB0" w:rsidRPr="001B6714" w14:paraId="0BF2FADC" w14:textId="77777777" w:rsidTr="00710BA4">
        <w:trPr>
          <w:trHeight w:val="177"/>
        </w:trPr>
        <w:tc>
          <w:tcPr>
            <w:tcW w:w="146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037040F" w14:textId="77777777" w:rsidR="00343FB0" w:rsidRPr="001B6714" w:rsidRDefault="00343FB0" w:rsidP="00343FB0">
            <w:pPr>
              <w:rPr>
                <w:sz w:val="22"/>
                <w:szCs w:val="22"/>
              </w:rPr>
            </w:pPr>
          </w:p>
        </w:tc>
        <w:tc>
          <w:tcPr>
            <w:tcW w:w="248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9A36BDE" w14:textId="77777777" w:rsidR="00343FB0" w:rsidRPr="001B6714" w:rsidRDefault="00343FB0" w:rsidP="00343FB0">
            <w:pPr>
              <w:jc w:val="both"/>
              <w:rPr>
                <w:sz w:val="22"/>
                <w:szCs w:val="22"/>
              </w:rPr>
            </w:pPr>
            <w:r w:rsidRPr="001B6714">
              <w:rPr>
                <w:b/>
                <w:bCs/>
                <w:sz w:val="22"/>
                <w:szCs w:val="22"/>
              </w:rPr>
              <w:t>Proposte ricevute</w:t>
            </w:r>
          </w:p>
        </w:tc>
        <w:tc>
          <w:tcPr>
            <w:tcW w:w="2486"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D6E1B3C" w14:textId="77777777" w:rsidR="00343FB0" w:rsidRPr="001B6714" w:rsidRDefault="00343FB0" w:rsidP="00343FB0">
            <w:pPr>
              <w:jc w:val="both"/>
              <w:rPr>
                <w:sz w:val="22"/>
                <w:szCs w:val="22"/>
              </w:rPr>
            </w:pPr>
            <w:r w:rsidRPr="001B6714">
              <w:rPr>
                <w:b/>
                <w:bCs/>
                <w:sz w:val="22"/>
                <w:szCs w:val="22"/>
              </w:rPr>
              <w:t>Azioni finanziate</w:t>
            </w:r>
          </w:p>
        </w:tc>
        <w:tc>
          <w:tcPr>
            <w:tcW w:w="321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417B120" w14:textId="77777777" w:rsidR="00343FB0" w:rsidRPr="001B6714" w:rsidRDefault="00343FB0" w:rsidP="00343FB0">
            <w:pPr>
              <w:jc w:val="both"/>
              <w:rPr>
                <w:sz w:val="22"/>
                <w:szCs w:val="22"/>
              </w:rPr>
            </w:pPr>
            <w:r w:rsidRPr="001B6714">
              <w:rPr>
                <w:b/>
                <w:bCs/>
                <w:sz w:val="22"/>
                <w:szCs w:val="22"/>
              </w:rPr>
              <w:t>Supporto CEF (miliardi di €)</w:t>
            </w:r>
          </w:p>
        </w:tc>
      </w:tr>
      <w:tr w:rsidR="00343FB0" w:rsidRPr="001B6714" w14:paraId="07F516B3" w14:textId="77777777" w:rsidTr="00710BA4">
        <w:trPr>
          <w:trHeight w:val="127"/>
        </w:trPr>
        <w:tc>
          <w:tcPr>
            <w:tcW w:w="1462" w:type="dxa"/>
            <w:tcBorders>
              <w:top w:val="single" w:sz="4" w:space="0" w:color="000000"/>
              <w:left w:val="nil"/>
              <w:bottom w:val="nil"/>
              <w:right w:val="nil"/>
            </w:tcBorders>
            <w:shd w:val="clear" w:color="auto" w:fill="auto"/>
            <w:tcMar>
              <w:top w:w="80" w:type="dxa"/>
              <w:left w:w="80" w:type="dxa"/>
              <w:bottom w:w="80" w:type="dxa"/>
              <w:right w:w="80" w:type="dxa"/>
            </w:tcMar>
          </w:tcPr>
          <w:p w14:paraId="038E826C" w14:textId="77777777" w:rsidR="00343FB0" w:rsidRPr="001B6714" w:rsidRDefault="00343FB0" w:rsidP="00343FB0">
            <w:pPr>
              <w:jc w:val="both"/>
              <w:rPr>
                <w:b/>
                <w:sz w:val="22"/>
                <w:szCs w:val="22"/>
              </w:rPr>
            </w:pPr>
            <w:r w:rsidRPr="001B6714">
              <w:rPr>
                <w:b/>
                <w:sz w:val="22"/>
                <w:szCs w:val="22"/>
              </w:rPr>
              <w:t>Totali</w:t>
            </w:r>
          </w:p>
        </w:tc>
        <w:tc>
          <w:tcPr>
            <w:tcW w:w="2481" w:type="dxa"/>
            <w:tcBorders>
              <w:top w:val="single" w:sz="4" w:space="0" w:color="000000"/>
              <w:left w:val="nil"/>
              <w:bottom w:val="nil"/>
              <w:right w:val="nil"/>
            </w:tcBorders>
            <w:shd w:val="clear" w:color="auto" w:fill="auto"/>
            <w:tcMar>
              <w:top w:w="80" w:type="dxa"/>
              <w:left w:w="80" w:type="dxa"/>
              <w:bottom w:w="80" w:type="dxa"/>
              <w:right w:w="80" w:type="dxa"/>
            </w:tcMar>
          </w:tcPr>
          <w:p w14:paraId="0D2E1B11" w14:textId="77777777" w:rsidR="00343FB0" w:rsidRPr="001B6714" w:rsidRDefault="00343FB0" w:rsidP="00343FB0">
            <w:pPr>
              <w:jc w:val="center"/>
              <w:rPr>
                <w:b/>
                <w:sz w:val="22"/>
                <w:szCs w:val="22"/>
              </w:rPr>
            </w:pPr>
            <w:r w:rsidRPr="001B6714">
              <w:rPr>
                <w:b/>
                <w:sz w:val="22"/>
                <w:szCs w:val="22"/>
              </w:rPr>
              <w:t>681</w:t>
            </w:r>
          </w:p>
        </w:tc>
        <w:tc>
          <w:tcPr>
            <w:tcW w:w="2486" w:type="dxa"/>
            <w:tcBorders>
              <w:top w:val="single" w:sz="4" w:space="0" w:color="000000"/>
              <w:left w:val="nil"/>
              <w:bottom w:val="nil"/>
              <w:right w:val="nil"/>
            </w:tcBorders>
            <w:shd w:val="clear" w:color="auto" w:fill="auto"/>
            <w:tcMar>
              <w:top w:w="80" w:type="dxa"/>
              <w:left w:w="80" w:type="dxa"/>
              <w:bottom w:w="80" w:type="dxa"/>
              <w:right w:w="80" w:type="dxa"/>
            </w:tcMar>
          </w:tcPr>
          <w:p w14:paraId="3CD106A2" w14:textId="77777777" w:rsidR="00343FB0" w:rsidRPr="001B6714" w:rsidRDefault="00343FB0" w:rsidP="00343FB0">
            <w:pPr>
              <w:jc w:val="center"/>
              <w:rPr>
                <w:b/>
                <w:sz w:val="22"/>
                <w:szCs w:val="22"/>
              </w:rPr>
            </w:pPr>
            <w:r w:rsidRPr="001B6714">
              <w:rPr>
                <w:b/>
                <w:sz w:val="22"/>
                <w:szCs w:val="22"/>
              </w:rPr>
              <w:t>276</w:t>
            </w:r>
          </w:p>
        </w:tc>
        <w:tc>
          <w:tcPr>
            <w:tcW w:w="3210" w:type="dxa"/>
            <w:tcBorders>
              <w:top w:val="single" w:sz="4" w:space="0" w:color="000000"/>
              <w:left w:val="nil"/>
              <w:bottom w:val="nil"/>
              <w:right w:val="nil"/>
            </w:tcBorders>
            <w:shd w:val="clear" w:color="auto" w:fill="auto"/>
            <w:tcMar>
              <w:top w:w="80" w:type="dxa"/>
              <w:left w:w="80" w:type="dxa"/>
              <w:bottom w:w="80" w:type="dxa"/>
              <w:right w:w="80" w:type="dxa"/>
            </w:tcMar>
          </w:tcPr>
          <w:p w14:paraId="39F85C2E" w14:textId="77777777" w:rsidR="00343FB0" w:rsidRPr="001B6714" w:rsidRDefault="00343FB0" w:rsidP="00343FB0">
            <w:pPr>
              <w:jc w:val="center"/>
              <w:rPr>
                <w:b/>
                <w:sz w:val="22"/>
                <w:szCs w:val="22"/>
              </w:rPr>
            </w:pPr>
            <w:r w:rsidRPr="001B6714">
              <w:rPr>
                <w:b/>
                <w:sz w:val="22"/>
                <w:szCs w:val="22"/>
              </w:rPr>
              <w:t>13,01</w:t>
            </w:r>
          </w:p>
        </w:tc>
      </w:tr>
      <w:tr w:rsidR="00710BA4" w:rsidRPr="001B6714" w14:paraId="0D918335" w14:textId="77777777" w:rsidTr="00343FB0">
        <w:trPr>
          <w:trHeight w:val="290"/>
        </w:trPr>
        <w:tc>
          <w:tcPr>
            <w:tcW w:w="1462" w:type="dxa"/>
            <w:tcBorders>
              <w:top w:val="nil"/>
              <w:left w:val="nil"/>
              <w:bottom w:val="single" w:sz="4" w:space="0" w:color="auto"/>
              <w:right w:val="nil"/>
            </w:tcBorders>
            <w:shd w:val="clear" w:color="auto" w:fill="auto"/>
            <w:tcMar>
              <w:top w:w="80" w:type="dxa"/>
              <w:left w:w="80" w:type="dxa"/>
              <w:bottom w:w="80" w:type="dxa"/>
              <w:right w:w="80" w:type="dxa"/>
            </w:tcMar>
          </w:tcPr>
          <w:p w14:paraId="6074772A" w14:textId="77777777" w:rsidR="00343FB0" w:rsidRPr="001B6714" w:rsidRDefault="00343FB0" w:rsidP="00343FB0">
            <w:pPr>
              <w:jc w:val="both"/>
              <w:rPr>
                <w:color w:val="auto"/>
                <w:sz w:val="22"/>
                <w:szCs w:val="22"/>
              </w:rPr>
            </w:pPr>
            <w:r w:rsidRPr="001B6714">
              <w:rPr>
                <w:i/>
                <w:iCs/>
                <w:color w:val="auto"/>
                <w:sz w:val="22"/>
                <w:szCs w:val="22"/>
              </w:rPr>
              <w:t>di cui ITA</w:t>
            </w:r>
          </w:p>
        </w:tc>
        <w:tc>
          <w:tcPr>
            <w:tcW w:w="2481" w:type="dxa"/>
            <w:tcBorders>
              <w:top w:val="nil"/>
              <w:left w:val="nil"/>
              <w:bottom w:val="single" w:sz="4" w:space="0" w:color="auto"/>
              <w:right w:val="nil"/>
            </w:tcBorders>
            <w:shd w:val="clear" w:color="auto" w:fill="auto"/>
            <w:tcMar>
              <w:top w:w="80" w:type="dxa"/>
              <w:left w:w="80" w:type="dxa"/>
              <w:bottom w:w="80" w:type="dxa"/>
              <w:right w:w="80" w:type="dxa"/>
            </w:tcMar>
          </w:tcPr>
          <w:p w14:paraId="6F0C718D" w14:textId="77777777" w:rsidR="00343FB0" w:rsidRPr="001B6714" w:rsidRDefault="00343FB0" w:rsidP="00343FB0">
            <w:pPr>
              <w:jc w:val="center"/>
              <w:rPr>
                <w:color w:val="auto"/>
                <w:sz w:val="22"/>
                <w:szCs w:val="22"/>
              </w:rPr>
            </w:pPr>
            <w:r w:rsidRPr="001B6714">
              <w:rPr>
                <w:i/>
                <w:iCs/>
                <w:color w:val="auto"/>
                <w:sz w:val="22"/>
                <w:szCs w:val="22"/>
              </w:rPr>
              <w:t>83</w:t>
            </w:r>
          </w:p>
        </w:tc>
        <w:tc>
          <w:tcPr>
            <w:tcW w:w="2486" w:type="dxa"/>
            <w:tcBorders>
              <w:top w:val="nil"/>
              <w:left w:val="nil"/>
              <w:bottom w:val="single" w:sz="4" w:space="0" w:color="auto"/>
              <w:right w:val="nil"/>
            </w:tcBorders>
            <w:shd w:val="clear" w:color="auto" w:fill="auto"/>
            <w:tcMar>
              <w:top w:w="80" w:type="dxa"/>
              <w:left w:w="80" w:type="dxa"/>
              <w:bottom w:w="80" w:type="dxa"/>
              <w:right w:w="80" w:type="dxa"/>
            </w:tcMar>
          </w:tcPr>
          <w:p w14:paraId="4B6D329F" w14:textId="77777777" w:rsidR="00343FB0" w:rsidRPr="001B6714" w:rsidRDefault="00343FB0" w:rsidP="00343FB0">
            <w:pPr>
              <w:jc w:val="center"/>
              <w:rPr>
                <w:color w:val="auto"/>
                <w:sz w:val="22"/>
                <w:szCs w:val="22"/>
              </w:rPr>
            </w:pPr>
            <w:r w:rsidRPr="001B6714">
              <w:rPr>
                <w:i/>
                <w:iCs/>
                <w:color w:val="auto"/>
                <w:sz w:val="22"/>
                <w:szCs w:val="22"/>
              </w:rPr>
              <w:t>33*</w:t>
            </w:r>
          </w:p>
        </w:tc>
        <w:tc>
          <w:tcPr>
            <w:tcW w:w="3210" w:type="dxa"/>
            <w:tcBorders>
              <w:top w:val="nil"/>
              <w:left w:val="nil"/>
              <w:bottom w:val="single" w:sz="4" w:space="0" w:color="auto"/>
              <w:right w:val="nil"/>
            </w:tcBorders>
            <w:shd w:val="clear" w:color="auto" w:fill="auto"/>
            <w:tcMar>
              <w:top w:w="80" w:type="dxa"/>
              <w:left w:w="80" w:type="dxa"/>
              <w:bottom w:w="80" w:type="dxa"/>
              <w:right w:w="80" w:type="dxa"/>
            </w:tcMar>
          </w:tcPr>
          <w:p w14:paraId="373BD61A" w14:textId="77777777" w:rsidR="00343FB0" w:rsidRPr="001B6714" w:rsidRDefault="00343FB0" w:rsidP="00343FB0">
            <w:pPr>
              <w:jc w:val="center"/>
              <w:rPr>
                <w:color w:val="auto"/>
                <w:sz w:val="22"/>
                <w:szCs w:val="22"/>
              </w:rPr>
            </w:pPr>
            <w:r w:rsidRPr="001B6714">
              <w:rPr>
                <w:i/>
                <w:iCs/>
                <w:color w:val="auto"/>
                <w:sz w:val="22"/>
                <w:szCs w:val="22"/>
              </w:rPr>
              <w:t>1,22</w:t>
            </w:r>
          </w:p>
        </w:tc>
      </w:tr>
    </w:tbl>
    <w:p w14:paraId="226340FA" w14:textId="77777777" w:rsidR="00343FB0" w:rsidRPr="008627B9" w:rsidRDefault="00343FB0" w:rsidP="00343FB0">
      <w:pPr>
        <w:widowControl w:val="0"/>
        <w:jc w:val="both"/>
        <w:rPr>
          <w:bCs/>
          <w:sz w:val="12"/>
          <w:szCs w:val="12"/>
        </w:rPr>
      </w:pPr>
    </w:p>
    <w:p w14:paraId="54C07D8D" w14:textId="77777777" w:rsidR="00343FB0" w:rsidRPr="008627B9" w:rsidRDefault="00343FB0" w:rsidP="00343FB0">
      <w:pPr>
        <w:pBdr>
          <w:top w:val="none" w:sz="0" w:space="0" w:color="auto"/>
          <w:left w:val="none" w:sz="0" w:space="0" w:color="auto"/>
          <w:bottom w:val="none" w:sz="0" w:space="0" w:color="auto"/>
          <w:right w:val="none" w:sz="0" w:space="0" w:color="auto"/>
          <w:between w:val="none" w:sz="0" w:space="0" w:color="auto"/>
          <w:bar w:val="none" w:sz="0" w:color="auto"/>
        </w:pBdr>
        <w:ind w:left="426" w:right="837" w:hanging="426"/>
        <w:rPr>
          <w:iCs/>
          <w:sz w:val="18"/>
          <w:szCs w:val="18"/>
        </w:rPr>
      </w:pPr>
      <w:r w:rsidRPr="008627B9">
        <w:rPr>
          <w:iCs/>
          <w:sz w:val="18"/>
          <w:szCs w:val="18"/>
        </w:rPr>
        <w:t>(*) Successivamente accorpate in 31 contratti di sovvenzione Grant Agreement.</w:t>
      </w:r>
    </w:p>
    <w:p w14:paraId="779D760B" w14:textId="77777777" w:rsidR="00343FB0" w:rsidRPr="008627B9" w:rsidRDefault="00343FB0" w:rsidP="00343FB0">
      <w:pPr>
        <w:pBdr>
          <w:top w:val="none" w:sz="0" w:space="0" w:color="auto"/>
          <w:left w:val="none" w:sz="0" w:space="0" w:color="auto"/>
          <w:bottom w:val="none" w:sz="0" w:space="0" w:color="auto"/>
          <w:right w:val="none" w:sz="0" w:space="0" w:color="auto"/>
          <w:between w:val="none" w:sz="0" w:space="0" w:color="auto"/>
          <w:bar w:val="none" w:sz="0" w:color="auto"/>
        </w:pBdr>
        <w:ind w:left="426" w:right="837" w:hanging="426"/>
        <w:rPr>
          <w:sz w:val="18"/>
          <w:szCs w:val="18"/>
        </w:rPr>
      </w:pPr>
      <w:r w:rsidRPr="008627B9">
        <w:rPr>
          <w:i/>
          <w:iCs/>
          <w:sz w:val="18"/>
          <w:szCs w:val="18"/>
        </w:rPr>
        <w:t>Fonte</w:t>
      </w:r>
      <w:r w:rsidR="006E3148">
        <w:rPr>
          <w:sz w:val="18"/>
          <w:szCs w:val="18"/>
        </w:rPr>
        <w:t>: Sito INEA</w:t>
      </w:r>
      <w:r w:rsidR="001B6714">
        <w:rPr>
          <w:sz w:val="18"/>
          <w:szCs w:val="18"/>
        </w:rPr>
        <w:t>.</w:t>
      </w:r>
    </w:p>
    <w:p w14:paraId="6EC66C72" w14:textId="77777777" w:rsidR="00343FB0" w:rsidRPr="008627B9" w:rsidRDefault="00343FB0" w:rsidP="00343FB0">
      <w:pPr>
        <w:jc w:val="both"/>
      </w:pPr>
      <w:r w:rsidRPr="008627B9">
        <w:t xml:space="preserve"> </w:t>
      </w:r>
    </w:p>
    <w:p w14:paraId="4D3B3358" w14:textId="77777777" w:rsidR="00783A39" w:rsidRPr="008627B9" w:rsidRDefault="00343FB0" w:rsidP="00343FB0">
      <w:pPr>
        <w:ind w:firstLine="708"/>
        <w:jc w:val="both"/>
      </w:pPr>
      <w:r w:rsidRPr="00F31C86">
        <w:t xml:space="preserve">Tra i progetti italiani figurano, </w:t>
      </w:r>
      <w:r w:rsidRPr="00F31C86">
        <w:rPr>
          <w:i/>
          <w:iCs/>
        </w:rPr>
        <w:t>in primis,</w:t>
      </w:r>
      <w:r w:rsidRPr="00F31C86">
        <w:t xml:space="preserve"> tre azioni transfrontaliere in ambito ferroviario che miglioreranno in modo significativo la capacità, l’efficienza e l’impatto ambientale del trasporto merci e favoriranno un aumento sostanziale dei flussi di passeggeri tra l'Italia e il Resto d'Europa: la galleria di base del Brennero, la tratta Milano-Chiasso (per beneficiare del nuovo tunnel del Gottardo dal 2016), e la sezione transfrontaliera Torino-Lione.</w:t>
      </w:r>
      <w:r w:rsidRPr="008627B9">
        <w:t xml:space="preserve"> </w:t>
      </w:r>
    </w:p>
    <w:p w14:paraId="732DA064" w14:textId="77777777" w:rsidR="00343FB0" w:rsidRDefault="00343FB0" w:rsidP="00343FB0">
      <w:pPr>
        <w:jc w:val="both"/>
        <w:rPr>
          <w:shd w:val="clear" w:color="auto" w:fill="FFFF00"/>
        </w:rPr>
      </w:pPr>
    </w:p>
    <w:p w14:paraId="386F0BF9" w14:textId="77777777" w:rsidR="00710BA4" w:rsidRPr="008627B9" w:rsidRDefault="00710BA4" w:rsidP="00343FB0">
      <w:pPr>
        <w:jc w:val="both"/>
        <w:rPr>
          <w:shd w:val="clear" w:color="auto" w:fill="FFFF00"/>
        </w:rPr>
      </w:pPr>
    </w:p>
    <w:p w14:paraId="172B1BD0" w14:textId="77777777" w:rsidR="00343FB0" w:rsidRDefault="00343FB0" w:rsidP="00343FB0">
      <w:pPr>
        <w:jc w:val="both"/>
        <w:rPr>
          <w:b/>
          <w:bCs/>
        </w:rPr>
      </w:pPr>
      <w:r w:rsidRPr="008627B9">
        <w:rPr>
          <w:b/>
          <w:bCs/>
        </w:rPr>
        <w:t xml:space="preserve">XI.4.4.2 - Bando CEF Transport 2015 </w:t>
      </w:r>
    </w:p>
    <w:p w14:paraId="6BD6B18F" w14:textId="77777777" w:rsidR="00710BA4" w:rsidRPr="008627B9" w:rsidRDefault="00710BA4" w:rsidP="00343FB0">
      <w:pPr>
        <w:jc w:val="both"/>
        <w:rPr>
          <w:b/>
          <w:bCs/>
        </w:rPr>
      </w:pPr>
    </w:p>
    <w:p w14:paraId="2666A13A" w14:textId="77777777" w:rsidR="00BE04A6" w:rsidRDefault="00343FB0" w:rsidP="00514CAB">
      <w:pPr>
        <w:ind w:firstLine="708"/>
        <w:jc w:val="both"/>
      </w:pPr>
      <w:r w:rsidRPr="008627B9">
        <w:t xml:space="preserve">Il secondo bando del programma CEF, pubblicato nel novembre 2015, ha messo a disposizione 7,56 miliardi di euro </w:t>
      </w:r>
      <w:r w:rsidRPr="00FB4B03">
        <w:t>su</w:t>
      </w:r>
      <w:r w:rsidRPr="008627B9">
        <w:t xml:space="preserve"> bando multi-annuale secondo la </w:t>
      </w:r>
      <w:proofErr w:type="spellStart"/>
      <w:r w:rsidRPr="008627B9">
        <w:t>Tab</w:t>
      </w:r>
      <w:proofErr w:type="spellEnd"/>
      <w:r w:rsidRPr="008627B9">
        <w:t>. XI.4.4.2.1.</w:t>
      </w:r>
    </w:p>
    <w:p w14:paraId="4A4405A9" w14:textId="77777777" w:rsidR="00514CAB" w:rsidRPr="00514CAB" w:rsidRDefault="00514CAB" w:rsidP="00514CAB">
      <w:pPr>
        <w:ind w:firstLine="708"/>
        <w:jc w:val="both"/>
      </w:pPr>
    </w:p>
    <w:p w14:paraId="2E9A0B33" w14:textId="77777777" w:rsidR="00343FB0" w:rsidRDefault="00343FB0" w:rsidP="00343FB0">
      <w:pPr>
        <w:ind w:left="284" w:hanging="284"/>
        <w:rPr>
          <w:b/>
          <w:bCs/>
        </w:rPr>
      </w:pPr>
      <w:proofErr w:type="spellStart"/>
      <w:r w:rsidRPr="008627B9">
        <w:rPr>
          <w:b/>
          <w:bCs/>
        </w:rPr>
        <w:t>Tab</w:t>
      </w:r>
      <w:proofErr w:type="spellEnd"/>
      <w:r w:rsidRPr="008627B9">
        <w:rPr>
          <w:b/>
          <w:bCs/>
        </w:rPr>
        <w:t xml:space="preserve">. XI.4.4.2.1 - Dotazione finanziaria Bando CEF </w:t>
      </w:r>
      <w:proofErr w:type="spellStart"/>
      <w:r w:rsidRPr="008627B9">
        <w:rPr>
          <w:b/>
          <w:bCs/>
        </w:rPr>
        <w:t>Transport</w:t>
      </w:r>
      <w:proofErr w:type="spellEnd"/>
      <w:r w:rsidRPr="008627B9">
        <w:rPr>
          <w:b/>
          <w:bCs/>
        </w:rPr>
        <w:t xml:space="preserve"> 2015</w:t>
      </w:r>
    </w:p>
    <w:p w14:paraId="66AC5F18" w14:textId="77777777" w:rsidR="00710BA4" w:rsidRPr="008627B9" w:rsidRDefault="00710BA4" w:rsidP="00343FB0">
      <w:pPr>
        <w:ind w:left="284" w:hanging="284"/>
        <w:rPr>
          <w:b/>
          <w:bCs/>
        </w:rPr>
      </w:pPr>
    </w:p>
    <w:tbl>
      <w:tblPr>
        <w:tblStyle w:val="TableNormal1"/>
        <w:tblW w:w="102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42"/>
        <w:gridCol w:w="4364"/>
      </w:tblGrid>
      <w:tr w:rsidR="00343FB0" w:rsidRPr="00C609A1" w14:paraId="21888C98" w14:textId="77777777" w:rsidTr="00343FB0">
        <w:trPr>
          <w:trHeight w:val="213"/>
        </w:trPr>
        <w:tc>
          <w:tcPr>
            <w:tcW w:w="551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DC90511" w14:textId="77777777" w:rsidR="00343FB0" w:rsidRPr="00F63DA4" w:rsidRDefault="00343FB0" w:rsidP="00343FB0">
            <w:pPr>
              <w:jc w:val="both"/>
              <w:rPr>
                <w:sz w:val="22"/>
                <w:szCs w:val="22"/>
              </w:rPr>
            </w:pPr>
            <w:r w:rsidRPr="00F63DA4">
              <w:rPr>
                <w:b/>
                <w:bCs/>
                <w:sz w:val="22"/>
                <w:szCs w:val="22"/>
              </w:rPr>
              <w:t>Bando</w:t>
            </w:r>
          </w:p>
        </w:tc>
        <w:tc>
          <w:tcPr>
            <w:tcW w:w="412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3D445DA" w14:textId="77777777" w:rsidR="00343FB0" w:rsidRPr="00F63DA4" w:rsidRDefault="00343FB0" w:rsidP="00343FB0">
            <w:pPr>
              <w:jc w:val="both"/>
              <w:rPr>
                <w:sz w:val="22"/>
                <w:szCs w:val="22"/>
              </w:rPr>
            </w:pPr>
            <w:r w:rsidRPr="00F63DA4">
              <w:rPr>
                <w:b/>
                <w:bCs/>
                <w:sz w:val="22"/>
                <w:szCs w:val="22"/>
              </w:rPr>
              <w:t>Budget call (miliardi di €)</w:t>
            </w:r>
          </w:p>
        </w:tc>
      </w:tr>
      <w:tr w:rsidR="00343FB0" w:rsidRPr="00C609A1" w14:paraId="28EAB83B" w14:textId="77777777" w:rsidTr="00343FB0">
        <w:trPr>
          <w:trHeight w:val="295"/>
        </w:trPr>
        <w:tc>
          <w:tcPr>
            <w:tcW w:w="5517" w:type="dxa"/>
            <w:tcBorders>
              <w:top w:val="single" w:sz="4" w:space="0" w:color="000000"/>
              <w:left w:val="nil"/>
              <w:bottom w:val="nil"/>
              <w:right w:val="nil"/>
            </w:tcBorders>
            <w:shd w:val="clear" w:color="auto" w:fill="auto"/>
            <w:tcMar>
              <w:top w:w="80" w:type="dxa"/>
              <w:left w:w="80" w:type="dxa"/>
              <w:bottom w:w="80" w:type="dxa"/>
              <w:right w:w="80" w:type="dxa"/>
            </w:tcMar>
          </w:tcPr>
          <w:p w14:paraId="0E86793D"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0023756F" w:rsidRPr="00B340E0">
              <w:rPr>
                <w:i/>
                <w:sz w:val="22"/>
                <w:szCs w:val="22"/>
                <w:lang w:val="en-US"/>
              </w:rPr>
              <w:t>Funding Objective</w:t>
            </w:r>
            <w:r w:rsidRPr="00450E48">
              <w:rPr>
                <w:sz w:val="22"/>
                <w:szCs w:val="22"/>
                <w:lang w:val="en-US"/>
              </w:rPr>
              <w:t xml:space="preserve"> 1-2-3)</w:t>
            </w:r>
          </w:p>
        </w:tc>
        <w:tc>
          <w:tcPr>
            <w:tcW w:w="4122" w:type="dxa"/>
            <w:tcBorders>
              <w:top w:val="single" w:sz="4" w:space="0" w:color="000000"/>
              <w:left w:val="nil"/>
              <w:bottom w:val="nil"/>
              <w:right w:val="nil"/>
            </w:tcBorders>
            <w:shd w:val="clear" w:color="auto" w:fill="auto"/>
            <w:tcMar>
              <w:top w:w="80" w:type="dxa"/>
              <w:left w:w="80" w:type="dxa"/>
              <w:bottom w:w="80" w:type="dxa"/>
              <w:right w:w="80" w:type="dxa"/>
            </w:tcMar>
          </w:tcPr>
          <w:p w14:paraId="57E5E0B7" w14:textId="77777777" w:rsidR="00343FB0" w:rsidRPr="00F63DA4" w:rsidRDefault="00343FB0" w:rsidP="00343FB0">
            <w:pPr>
              <w:jc w:val="center"/>
              <w:rPr>
                <w:sz w:val="22"/>
                <w:szCs w:val="22"/>
              </w:rPr>
            </w:pPr>
            <w:r w:rsidRPr="00F63DA4">
              <w:rPr>
                <w:sz w:val="22"/>
                <w:szCs w:val="22"/>
              </w:rPr>
              <w:t>1,09</w:t>
            </w:r>
          </w:p>
        </w:tc>
      </w:tr>
      <w:tr w:rsidR="00343FB0" w:rsidRPr="00C609A1" w14:paraId="76876BA9" w14:textId="77777777" w:rsidTr="00343FB0">
        <w:trPr>
          <w:trHeight w:val="295"/>
        </w:trPr>
        <w:tc>
          <w:tcPr>
            <w:tcW w:w="5517" w:type="dxa"/>
            <w:tcBorders>
              <w:top w:val="nil"/>
              <w:left w:val="nil"/>
              <w:bottom w:val="single" w:sz="4" w:space="0" w:color="000000"/>
              <w:right w:val="nil"/>
            </w:tcBorders>
            <w:shd w:val="clear" w:color="auto" w:fill="auto"/>
            <w:tcMar>
              <w:top w:w="80" w:type="dxa"/>
              <w:left w:w="80" w:type="dxa"/>
              <w:bottom w:w="80" w:type="dxa"/>
              <w:right w:w="80" w:type="dxa"/>
            </w:tcMar>
          </w:tcPr>
          <w:p w14:paraId="4FAA6A8D"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Cohesion envelope</w:t>
            </w:r>
            <w:r w:rsidRPr="00450E48">
              <w:rPr>
                <w:sz w:val="22"/>
                <w:szCs w:val="22"/>
                <w:lang w:val="en-US"/>
              </w:rPr>
              <w:t xml:space="preserve"> (</w:t>
            </w:r>
            <w:r w:rsidR="0023756F" w:rsidRPr="00B340E0">
              <w:rPr>
                <w:i/>
                <w:sz w:val="22"/>
                <w:szCs w:val="22"/>
                <w:lang w:val="en-US"/>
              </w:rPr>
              <w:t>Funding Objective</w:t>
            </w:r>
            <w:r w:rsidRPr="00450E48">
              <w:rPr>
                <w:sz w:val="22"/>
                <w:szCs w:val="22"/>
                <w:lang w:val="en-US"/>
              </w:rPr>
              <w:t xml:space="preserve"> 1-2-3)</w:t>
            </w:r>
          </w:p>
        </w:tc>
        <w:tc>
          <w:tcPr>
            <w:tcW w:w="4122" w:type="dxa"/>
            <w:tcBorders>
              <w:top w:val="nil"/>
              <w:left w:val="nil"/>
              <w:bottom w:val="single" w:sz="4" w:space="0" w:color="000000"/>
              <w:right w:val="nil"/>
            </w:tcBorders>
            <w:shd w:val="clear" w:color="auto" w:fill="auto"/>
            <w:tcMar>
              <w:top w:w="80" w:type="dxa"/>
              <w:left w:w="80" w:type="dxa"/>
              <w:bottom w:w="80" w:type="dxa"/>
              <w:right w:w="80" w:type="dxa"/>
            </w:tcMar>
          </w:tcPr>
          <w:p w14:paraId="57C68920" w14:textId="77777777" w:rsidR="00343FB0" w:rsidRPr="00F63DA4" w:rsidRDefault="00343FB0" w:rsidP="00343FB0">
            <w:pPr>
              <w:jc w:val="center"/>
              <w:rPr>
                <w:sz w:val="22"/>
                <w:szCs w:val="22"/>
              </w:rPr>
            </w:pPr>
            <w:r w:rsidRPr="00F63DA4">
              <w:rPr>
                <w:sz w:val="22"/>
                <w:szCs w:val="22"/>
              </w:rPr>
              <w:t>6,47</w:t>
            </w:r>
          </w:p>
        </w:tc>
      </w:tr>
      <w:tr w:rsidR="00343FB0" w:rsidRPr="00C609A1" w14:paraId="7ADF0AE8" w14:textId="77777777" w:rsidTr="00343FB0">
        <w:trPr>
          <w:trHeight w:val="17"/>
        </w:trPr>
        <w:tc>
          <w:tcPr>
            <w:tcW w:w="551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43A26D5" w14:textId="77777777" w:rsidR="00343FB0" w:rsidRPr="00F63DA4" w:rsidRDefault="00343FB0" w:rsidP="00343FB0">
            <w:pPr>
              <w:jc w:val="both"/>
              <w:rPr>
                <w:sz w:val="22"/>
                <w:szCs w:val="22"/>
              </w:rPr>
            </w:pPr>
            <w:r w:rsidRPr="00F63DA4">
              <w:rPr>
                <w:b/>
                <w:bCs/>
                <w:sz w:val="22"/>
                <w:szCs w:val="22"/>
              </w:rPr>
              <w:t>Totale</w:t>
            </w:r>
          </w:p>
        </w:tc>
        <w:tc>
          <w:tcPr>
            <w:tcW w:w="412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5F09DB6" w14:textId="77777777" w:rsidR="00343FB0" w:rsidRPr="00F63DA4" w:rsidRDefault="00343FB0" w:rsidP="00343FB0">
            <w:pPr>
              <w:jc w:val="center"/>
              <w:rPr>
                <w:sz w:val="22"/>
                <w:szCs w:val="22"/>
              </w:rPr>
            </w:pPr>
            <w:r w:rsidRPr="00F63DA4">
              <w:rPr>
                <w:b/>
                <w:bCs/>
                <w:sz w:val="22"/>
                <w:szCs w:val="22"/>
              </w:rPr>
              <w:t>7,56</w:t>
            </w:r>
          </w:p>
        </w:tc>
      </w:tr>
    </w:tbl>
    <w:p w14:paraId="59B26489" w14:textId="77777777" w:rsidR="00343FB0" w:rsidRPr="008627B9" w:rsidRDefault="00343FB0" w:rsidP="00343FB0">
      <w:pPr>
        <w:ind w:left="284" w:hanging="284"/>
        <w:rPr>
          <w:sz w:val="18"/>
          <w:szCs w:val="18"/>
        </w:rPr>
      </w:pPr>
      <w:r w:rsidRPr="008627B9">
        <w:rPr>
          <w:i/>
          <w:iCs/>
          <w:sz w:val="18"/>
          <w:szCs w:val="18"/>
        </w:rPr>
        <w:t>Fonte</w:t>
      </w:r>
      <w:r w:rsidR="006E3148">
        <w:rPr>
          <w:sz w:val="18"/>
          <w:szCs w:val="18"/>
        </w:rPr>
        <w:t>: Sito INEA</w:t>
      </w:r>
      <w:r w:rsidR="00412E5A">
        <w:rPr>
          <w:sz w:val="18"/>
          <w:szCs w:val="18"/>
        </w:rPr>
        <w:t>.</w:t>
      </w:r>
    </w:p>
    <w:p w14:paraId="2BC7B828" w14:textId="77777777" w:rsidR="00343FB0" w:rsidRDefault="00343FB0" w:rsidP="00343FB0">
      <w:pPr>
        <w:jc w:val="both"/>
      </w:pPr>
    </w:p>
    <w:p w14:paraId="27F0AEF3" w14:textId="77777777" w:rsidR="00710BA4" w:rsidRPr="008627B9" w:rsidRDefault="00710BA4" w:rsidP="00343FB0">
      <w:pPr>
        <w:jc w:val="both"/>
      </w:pPr>
    </w:p>
    <w:p w14:paraId="577460A4" w14:textId="77777777" w:rsidR="00343FB0" w:rsidRPr="008627B9" w:rsidRDefault="00343FB0" w:rsidP="00343FB0">
      <w:pPr>
        <w:ind w:firstLine="708"/>
        <w:jc w:val="both"/>
      </w:pPr>
      <w:r w:rsidRPr="008627B9">
        <w:t xml:space="preserve">In totale sono state presentate </w:t>
      </w:r>
      <w:r w:rsidR="0023756F">
        <w:t xml:space="preserve">dagli Stati membri </w:t>
      </w:r>
      <w:r w:rsidRPr="008627B9">
        <w:t xml:space="preserve">406 proposte delle quali 195 sono state finanziate con 6,68 miliardi di euro complessivi, lasciando inutilizzati fondi per 874 milioni di euro, per la quasi totalità relativi al fondo di coesione. La Commissione Europea ha approvato in particolare 12 delle 41 azioni presentate dall’Italia (sette delle quali in </w:t>
      </w:r>
      <w:r w:rsidR="0023756F">
        <w:t>p</w:t>
      </w:r>
      <w:r w:rsidRPr="008627B9">
        <w:t xml:space="preserve">artenariato internazionale) ed ha accordato fondi per circa 91 milioni di euro come indicato nella </w:t>
      </w:r>
      <w:proofErr w:type="spellStart"/>
      <w:r w:rsidRPr="008627B9">
        <w:t>Tab</w:t>
      </w:r>
      <w:proofErr w:type="spellEnd"/>
      <w:r w:rsidRPr="008627B9">
        <w:t>. XI.4.4.2.2.</w:t>
      </w:r>
    </w:p>
    <w:p w14:paraId="26AC4E8B" w14:textId="77777777" w:rsidR="00343FB0" w:rsidRPr="008627B9" w:rsidRDefault="00343FB0" w:rsidP="00343FB0">
      <w:pPr>
        <w:jc w:val="both"/>
      </w:pPr>
    </w:p>
    <w:p w14:paraId="3B4DF19B" w14:textId="77777777" w:rsidR="00343FB0" w:rsidRDefault="00343FB0" w:rsidP="00343FB0">
      <w:pPr>
        <w:ind w:left="284" w:right="696" w:hanging="284"/>
        <w:rPr>
          <w:b/>
          <w:bCs/>
        </w:rPr>
      </w:pPr>
      <w:proofErr w:type="spellStart"/>
      <w:r w:rsidRPr="008627B9">
        <w:rPr>
          <w:b/>
          <w:bCs/>
        </w:rPr>
        <w:t>Tab</w:t>
      </w:r>
      <w:proofErr w:type="spellEnd"/>
      <w:r w:rsidR="001B6714">
        <w:rPr>
          <w:b/>
          <w:bCs/>
        </w:rPr>
        <w:t>.</w:t>
      </w:r>
      <w:r w:rsidRPr="008627B9">
        <w:rPr>
          <w:b/>
          <w:bCs/>
        </w:rPr>
        <w:t xml:space="preserve"> XI.4.4.2.2 - Sintesi Bando CEF </w:t>
      </w:r>
      <w:proofErr w:type="spellStart"/>
      <w:r w:rsidRPr="008627B9">
        <w:rPr>
          <w:b/>
          <w:bCs/>
        </w:rPr>
        <w:t>Transport</w:t>
      </w:r>
      <w:proofErr w:type="spellEnd"/>
      <w:r w:rsidRPr="008627B9">
        <w:rPr>
          <w:b/>
          <w:bCs/>
        </w:rPr>
        <w:t xml:space="preserve"> 2015</w:t>
      </w:r>
    </w:p>
    <w:p w14:paraId="383A893F" w14:textId="77777777" w:rsidR="00710BA4" w:rsidRPr="008627B9" w:rsidRDefault="00710BA4" w:rsidP="00343FB0">
      <w:pPr>
        <w:ind w:left="284" w:right="696" w:hanging="284"/>
        <w:rPr>
          <w:b/>
          <w:bCs/>
        </w:rPr>
      </w:pPr>
    </w:p>
    <w:tbl>
      <w:tblPr>
        <w:tblStyle w:val="TableNormal1"/>
        <w:tblW w:w="102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50"/>
        <w:gridCol w:w="2627"/>
        <w:gridCol w:w="2634"/>
        <w:gridCol w:w="3395"/>
      </w:tblGrid>
      <w:tr w:rsidR="00343FB0" w:rsidRPr="00C609A1" w14:paraId="7061AE07" w14:textId="77777777" w:rsidTr="00343FB0">
        <w:trPr>
          <w:trHeight w:val="17"/>
        </w:trPr>
        <w:tc>
          <w:tcPr>
            <w:tcW w:w="142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8B009BB" w14:textId="77777777" w:rsidR="00343FB0" w:rsidRPr="00F63DA4" w:rsidRDefault="00343FB0" w:rsidP="00343FB0">
            <w:pPr>
              <w:rPr>
                <w:sz w:val="22"/>
                <w:szCs w:val="22"/>
              </w:rPr>
            </w:pPr>
          </w:p>
        </w:tc>
        <w:tc>
          <w:tcPr>
            <w:tcW w:w="2406"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4722E96" w14:textId="77777777" w:rsidR="00343FB0" w:rsidRPr="00F63DA4" w:rsidRDefault="00343FB0" w:rsidP="00343FB0">
            <w:pPr>
              <w:jc w:val="both"/>
              <w:rPr>
                <w:sz w:val="22"/>
                <w:szCs w:val="22"/>
              </w:rPr>
            </w:pPr>
            <w:r w:rsidRPr="00F63DA4">
              <w:rPr>
                <w:b/>
                <w:bCs/>
                <w:sz w:val="22"/>
                <w:szCs w:val="22"/>
              </w:rPr>
              <w:t>Domande ricevute</w:t>
            </w:r>
          </w:p>
        </w:tc>
        <w:tc>
          <w:tcPr>
            <w:tcW w:w="241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B7220A9" w14:textId="77777777" w:rsidR="00343FB0" w:rsidRPr="00F63DA4" w:rsidRDefault="00343FB0" w:rsidP="00343FB0">
            <w:pPr>
              <w:jc w:val="both"/>
              <w:rPr>
                <w:sz w:val="22"/>
                <w:szCs w:val="22"/>
              </w:rPr>
            </w:pPr>
            <w:r w:rsidRPr="00F63DA4">
              <w:rPr>
                <w:b/>
                <w:bCs/>
                <w:sz w:val="22"/>
                <w:szCs w:val="22"/>
              </w:rPr>
              <w:t>Azioni finanziate</w:t>
            </w:r>
          </w:p>
        </w:tc>
        <w:tc>
          <w:tcPr>
            <w:tcW w:w="310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45BCA03" w14:textId="77777777" w:rsidR="00343FB0" w:rsidRPr="00F63DA4" w:rsidRDefault="00343FB0" w:rsidP="00343FB0">
            <w:pPr>
              <w:jc w:val="both"/>
              <w:rPr>
                <w:sz w:val="22"/>
                <w:szCs w:val="22"/>
              </w:rPr>
            </w:pPr>
            <w:r w:rsidRPr="00F63DA4">
              <w:rPr>
                <w:b/>
                <w:bCs/>
                <w:sz w:val="22"/>
                <w:szCs w:val="22"/>
              </w:rPr>
              <w:t>Supporto CEF (miliardi €)</w:t>
            </w:r>
          </w:p>
        </w:tc>
      </w:tr>
      <w:tr w:rsidR="00343FB0" w:rsidRPr="00C609A1" w14:paraId="081996C3" w14:textId="77777777" w:rsidTr="00343FB0">
        <w:trPr>
          <w:trHeight w:val="20"/>
        </w:trPr>
        <w:tc>
          <w:tcPr>
            <w:tcW w:w="1420" w:type="dxa"/>
            <w:tcBorders>
              <w:top w:val="single" w:sz="4" w:space="0" w:color="000000"/>
              <w:left w:val="nil"/>
              <w:bottom w:val="nil"/>
              <w:right w:val="nil"/>
            </w:tcBorders>
            <w:shd w:val="clear" w:color="auto" w:fill="auto"/>
            <w:tcMar>
              <w:top w:w="80" w:type="dxa"/>
              <w:left w:w="80" w:type="dxa"/>
              <w:bottom w:w="80" w:type="dxa"/>
              <w:right w:w="80" w:type="dxa"/>
            </w:tcMar>
          </w:tcPr>
          <w:p w14:paraId="6E5E33AF" w14:textId="77777777" w:rsidR="00343FB0" w:rsidRPr="00F63DA4" w:rsidRDefault="00343FB0" w:rsidP="00343FB0">
            <w:pPr>
              <w:jc w:val="both"/>
              <w:rPr>
                <w:b/>
                <w:sz w:val="22"/>
                <w:szCs w:val="22"/>
              </w:rPr>
            </w:pPr>
            <w:r w:rsidRPr="00F63DA4">
              <w:rPr>
                <w:b/>
                <w:sz w:val="22"/>
                <w:szCs w:val="22"/>
              </w:rPr>
              <w:t>Totali</w:t>
            </w:r>
          </w:p>
        </w:tc>
        <w:tc>
          <w:tcPr>
            <w:tcW w:w="2406" w:type="dxa"/>
            <w:tcBorders>
              <w:top w:val="single" w:sz="4" w:space="0" w:color="000000"/>
              <w:left w:val="nil"/>
              <w:bottom w:val="nil"/>
              <w:right w:val="nil"/>
            </w:tcBorders>
            <w:shd w:val="clear" w:color="auto" w:fill="auto"/>
            <w:tcMar>
              <w:top w:w="80" w:type="dxa"/>
              <w:left w:w="80" w:type="dxa"/>
              <w:bottom w:w="80" w:type="dxa"/>
              <w:right w:w="80" w:type="dxa"/>
            </w:tcMar>
          </w:tcPr>
          <w:p w14:paraId="2EF1A534" w14:textId="77777777" w:rsidR="00343FB0" w:rsidRPr="00F63DA4" w:rsidRDefault="00343FB0" w:rsidP="00343FB0">
            <w:pPr>
              <w:jc w:val="center"/>
              <w:rPr>
                <w:b/>
                <w:sz w:val="22"/>
                <w:szCs w:val="22"/>
              </w:rPr>
            </w:pPr>
            <w:r w:rsidRPr="00F63DA4">
              <w:rPr>
                <w:b/>
                <w:sz w:val="22"/>
                <w:szCs w:val="22"/>
              </w:rPr>
              <w:t>406</w:t>
            </w:r>
          </w:p>
        </w:tc>
        <w:tc>
          <w:tcPr>
            <w:tcW w:w="2412" w:type="dxa"/>
            <w:tcBorders>
              <w:top w:val="single" w:sz="4" w:space="0" w:color="000000"/>
              <w:left w:val="nil"/>
              <w:bottom w:val="nil"/>
              <w:right w:val="nil"/>
            </w:tcBorders>
            <w:shd w:val="clear" w:color="auto" w:fill="auto"/>
            <w:tcMar>
              <w:top w:w="80" w:type="dxa"/>
              <w:left w:w="80" w:type="dxa"/>
              <w:bottom w:w="80" w:type="dxa"/>
              <w:right w:w="80" w:type="dxa"/>
            </w:tcMar>
          </w:tcPr>
          <w:p w14:paraId="075B93A3" w14:textId="77777777" w:rsidR="00343FB0" w:rsidRPr="00F63DA4" w:rsidRDefault="00343FB0" w:rsidP="00343FB0">
            <w:pPr>
              <w:jc w:val="center"/>
              <w:rPr>
                <w:b/>
                <w:sz w:val="22"/>
                <w:szCs w:val="22"/>
              </w:rPr>
            </w:pPr>
            <w:r w:rsidRPr="00F63DA4">
              <w:rPr>
                <w:b/>
                <w:sz w:val="22"/>
                <w:szCs w:val="22"/>
              </w:rPr>
              <w:t>195</w:t>
            </w:r>
          </w:p>
        </w:tc>
        <w:tc>
          <w:tcPr>
            <w:tcW w:w="3109" w:type="dxa"/>
            <w:tcBorders>
              <w:top w:val="single" w:sz="4" w:space="0" w:color="000000"/>
              <w:left w:val="nil"/>
              <w:bottom w:val="nil"/>
              <w:right w:val="nil"/>
            </w:tcBorders>
            <w:shd w:val="clear" w:color="auto" w:fill="auto"/>
            <w:tcMar>
              <w:top w:w="80" w:type="dxa"/>
              <w:left w:w="80" w:type="dxa"/>
              <w:bottom w:w="80" w:type="dxa"/>
              <w:right w:w="80" w:type="dxa"/>
            </w:tcMar>
          </w:tcPr>
          <w:p w14:paraId="5F3B7C3A" w14:textId="77777777" w:rsidR="00343FB0" w:rsidRPr="00F63DA4" w:rsidRDefault="00343FB0" w:rsidP="00343FB0">
            <w:pPr>
              <w:jc w:val="center"/>
              <w:rPr>
                <w:b/>
                <w:sz w:val="22"/>
                <w:szCs w:val="22"/>
              </w:rPr>
            </w:pPr>
            <w:r w:rsidRPr="00F63DA4">
              <w:rPr>
                <w:b/>
                <w:sz w:val="22"/>
                <w:szCs w:val="22"/>
              </w:rPr>
              <w:t>6,68</w:t>
            </w:r>
          </w:p>
        </w:tc>
      </w:tr>
      <w:tr w:rsidR="00343FB0" w:rsidRPr="00C609A1" w14:paraId="527140E6" w14:textId="77777777" w:rsidTr="00343FB0">
        <w:trPr>
          <w:trHeight w:val="290"/>
        </w:trPr>
        <w:tc>
          <w:tcPr>
            <w:tcW w:w="1420" w:type="dxa"/>
            <w:tcBorders>
              <w:top w:val="nil"/>
              <w:left w:val="nil"/>
              <w:bottom w:val="single" w:sz="4" w:space="0" w:color="auto"/>
              <w:right w:val="nil"/>
            </w:tcBorders>
            <w:shd w:val="clear" w:color="auto" w:fill="auto"/>
            <w:tcMar>
              <w:top w:w="80" w:type="dxa"/>
              <w:left w:w="80" w:type="dxa"/>
              <w:bottom w:w="80" w:type="dxa"/>
              <w:right w:w="80" w:type="dxa"/>
            </w:tcMar>
          </w:tcPr>
          <w:p w14:paraId="58B97A93" w14:textId="77777777" w:rsidR="00343FB0" w:rsidRPr="00F63DA4" w:rsidRDefault="00343FB0" w:rsidP="00343FB0">
            <w:pPr>
              <w:jc w:val="both"/>
              <w:rPr>
                <w:sz w:val="22"/>
                <w:szCs w:val="22"/>
              </w:rPr>
            </w:pPr>
            <w:r w:rsidRPr="00F63DA4">
              <w:rPr>
                <w:i/>
                <w:iCs/>
                <w:sz w:val="22"/>
                <w:szCs w:val="22"/>
              </w:rPr>
              <w:lastRenderedPageBreak/>
              <w:t>di cui ITA</w:t>
            </w:r>
          </w:p>
        </w:tc>
        <w:tc>
          <w:tcPr>
            <w:tcW w:w="2406" w:type="dxa"/>
            <w:tcBorders>
              <w:top w:val="nil"/>
              <w:left w:val="nil"/>
              <w:bottom w:val="single" w:sz="4" w:space="0" w:color="auto"/>
              <w:right w:val="nil"/>
            </w:tcBorders>
            <w:shd w:val="clear" w:color="auto" w:fill="auto"/>
            <w:tcMar>
              <w:top w:w="80" w:type="dxa"/>
              <w:left w:w="80" w:type="dxa"/>
              <w:bottom w:w="80" w:type="dxa"/>
              <w:right w:w="80" w:type="dxa"/>
            </w:tcMar>
          </w:tcPr>
          <w:p w14:paraId="5EA03B08" w14:textId="77777777" w:rsidR="00343FB0" w:rsidRPr="00F63DA4" w:rsidRDefault="00343FB0" w:rsidP="00343FB0">
            <w:pPr>
              <w:jc w:val="center"/>
              <w:rPr>
                <w:sz w:val="22"/>
                <w:szCs w:val="22"/>
              </w:rPr>
            </w:pPr>
            <w:r w:rsidRPr="00F63DA4">
              <w:rPr>
                <w:i/>
                <w:iCs/>
                <w:sz w:val="22"/>
                <w:szCs w:val="22"/>
              </w:rPr>
              <w:t>41</w:t>
            </w:r>
          </w:p>
        </w:tc>
        <w:tc>
          <w:tcPr>
            <w:tcW w:w="2412" w:type="dxa"/>
            <w:tcBorders>
              <w:top w:val="nil"/>
              <w:left w:val="nil"/>
              <w:bottom w:val="single" w:sz="4" w:space="0" w:color="auto"/>
              <w:right w:val="nil"/>
            </w:tcBorders>
            <w:shd w:val="clear" w:color="auto" w:fill="auto"/>
            <w:tcMar>
              <w:top w:w="80" w:type="dxa"/>
              <w:left w:w="80" w:type="dxa"/>
              <w:bottom w:w="80" w:type="dxa"/>
              <w:right w:w="80" w:type="dxa"/>
            </w:tcMar>
          </w:tcPr>
          <w:p w14:paraId="440595BF" w14:textId="77777777" w:rsidR="00343FB0" w:rsidRPr="00F63DA4" w:rsidRDefault="00343FB0" w:rsidP="00343FB0">
            <w:pPr>
              <w:jc w:val="center"/>
              <w:rPr>
                <w:sz w:val="22"/>
                <w:szCs w:val="22"/>
              </w:rPr>
            </w:pPr>
            <w:r w:rsidRPr="00F63DA4">
              <w:rPr>
                <w:i/>
                <w:iCs/>
                <w:sz w:val="22"/>
                <w:szCs w:val="22"/>
              </w:rPr>
              <w:t>12</w:t>
            </w:r>
          </w:p>
        </w:tc>
        <w:tc>
          <w:tcPr>
            <w:tcW w:w="3109" w:type="dxa"/>
            <w:tcBorders>
              <w:top w:val="nil"/>
              <w:left w:val="nil"/>
              <w:bottom w:val="single" w:sz="4" w:space="0" w:color="auto"/>
              <w:right w:val="nil"/>
            </w:tcBorders>
            <w:shd w:val="clear" w:color="auto" w:fill="auto"/>
            <w:tcMar>
              <w:top w:w="80" w:type="dxa"/>
              <w:left w:w="80" w:type="dxa"/>
              <w:bottom w:w="80" w:type="dxa"/>
              <w:right w:w="80" w:type="dxa"/>
            </w:tcMar>
          </w:tcPr>
          <w:p w14:paraId="254E932F" w14:textId="77777777" w:rsidR="00343FB0" w:rsidRPr="00F63DA4" w:rsidRDefault="00343FB0" w:rsidP="00343FB0">
            <w:pPr>
              <w:jc w:val="center"/>
              <w:rPr>
                <w:sz w:val="22"/>
                <w:szCs w:val="22"/>
              </w:rPr>
            </w:pPr>
            <w:r w:rsidRPr="00F63DA4">
              <w:rPr>
                <w:i/>
                <w:iCs/>
                <w:sz w:val="22"/>
                <w:szCs w:val="22"/>
              </w:rPr>
              <w:t>0,09</w:t>
            </w:r>
          </w:p>
        </w:tc>
      </w:tr>
    </w:tbl>
    <w:p w14:paraId="5DD394B0" w14:textId="77777777" w:rsidR="00343FB0" w:rsidRDefault="00343FB0" w:rsidP="00343FB0">
      <w:pPr>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r w:rsidRPr="008627B9">
        <w:rPr>
          <w:i/>
          <w:iCs/>
          <w:sz w:val="18"/>
          <w:szCs w:val="18"/>
        </w:rPr>
        <w:t>Fonte</w:t>
      </w:r>
      <w:r w:rsidR="006E3148">
        <w:rPr>
          <w:sz w:val="18"/>
          <w:szCs w:val="18"/>
        </w:rPr>
        <w:t>: Sito INEA</w:t>
      </w:r>
      <w:r w:rsidR="00412E5A">
        <w:rPr>
          <w:sz w:val="18"/>
          <w:szCs w:val="18"/>
        </w:rPr>
        <w:t>.</w:t>
      </w:r>
    </w:p>
    <w:p w14:paraId="18FC1BAD" w14:textId="77777777" w:rsidR="00412E5A" w:rsidRPr="008627B9" w:rsidRDefault="00412E5A" w:rsidP="00343FB0">
      <w:pPr>
        <w:pBdr>
          <w:top w:val="none" w:sz="0" w:space="0" w:color="auto"/>
          <w:left w:val="none" w:sz="0" w:space="0" w:color="auto"/>
          <w:bottom w:val="none" w:sz="0" w:space="0" w:color="auto"/>
          <w:right w:val="none" w:sz="0" w:space="0" w:color="auto"/>
          <w:between w:val="none" w:sz="0" w:space="0" w:color="auto"/>
          <w:bar w:val="none" w:sz="0" w:color="auto"/>
        </w:pBdr>
        <w:rPr>
          <w:sz w:val="18"/>
          <w:szCs w:val="18"/>
        </w:rPr>
      </w:pPr>
    </w:p>
    <w:p w14:paraId="1ABE795E" w14:textId="77777777" w:rsidR="001543F9" w:rsidRPr="008627B9" w:rsidRDefault="001543F9">
      <w:pPr>
        <w:pStyle w:val="Paragrafoelenco"/>
        <w:tabs>
          <w:tab w:val="left" w:pos="851"/>
        </w:tabs>
        <w:ind w:left="284"/>
      </w:pPr>
    </w:p>
    <w:p w14:paraId="1842C37F" w14:textId="77777777" w:rsidR="00343FB0" w:rsidRDefault="00343FB0" w:rsidP="00343FB0">
      <w:pPr>
        <w:jc w:val="both"/>
        <w:rPr>
          <w:b/>
          <w:bCs/>
        </w:rPr>
      </w:pPr>
      <w:r w:rsidRPr="008627B9">
        <w:rPr>
          <w:b/>
          <w:bCs/>
        </w:rPr>
        <w:t>XI.4.4.3 - Bando CEF Sinergie 2016</w:t>
      </w:r>
    </w:p>
    <w:p w14:paraId="5452A964" w14:textId="77777777" w:rsidR="00514CAB" w:rsidRPr="008627B9" w:rsidRDefault="00514CAB" w:rsidP="00343FB0">
      <w:pPr>
        <w:jc w:val="both"/>
        <w:rPr>
          <w:b/>
          <w:bCs/>
        </w:rPr>
      </w:pPr>
    </w:p>
    <w:p w14:paraId="02393B65" w14:textId="77777777" w:rsidR="00343FB0" w:rsidRPr="008627B9" w:rsidRDefault="00343FB0" w:rsidP="00343FB0">
      <w:pPr>
        <w:ind w:firstLine="567"/>
        <w:jc w:val="both"/>
      </w:pPr>
      <w:r w:rsidRPr="008627B9">
        <w:t xml:space="preserve">Nel settembre 2016 è stata lanciata una </w:t>
      </w:r>
      <w:r w:rsidRPr="008627B9">
        <w:rPr>
          <w:i/>
          <w:iCs/>
        </w:rPr>
        <w:t>call</w:t>
      </w:r>
      <w:r w:rsidRPr="008627B9">
        <w:t>, denominata “</w:t>
      </w:r>
      <w:proofErr w:type="spellStart"/>
      <w:r w:rsidRPr="008627B9">
        <w:rPr>
          <w:i/>
          <w:iCs/>
        </w:rPr>
        <w:t>Sinergy</w:t>
      </w:r>
      <w:proofErr w:type="spellEnd"/>
      <w:r w:rsidRPr="008627B9">
        <w:rPr>
          <w:i/>
          <w:iCs/>
        </w:rPr>
        <w:t xml:space="preserve"> call</w:t>
      </w:r>
      <w:r w:rsidRPr="008627B9">
        <w:t xml:space="preserve">”, ai sensi dell’art. 17 c.7 del Regolamento n. 1316/2013 finalizzata a cofinanziare progetti che si rivolgono al completamento </w:t>
      </w:r>
      <w:r w:rsidR="0023756F">
        <w:t>delle</w:t>
      </w:r>
      <w:r w:rsidRPr="008627B9">
        <w:t xml:space="preserve"> sezioni di Corridoio delle reti di trasporto (TEN-T) in grado di supportare lo sviluppo congiunto dei progetti di interesse comune</w:t>
      </w:r>
      <w:r w:rsidR="0023756F">
        <w:t xml:space="preserve">, </w:t>
      </w:r>
      <w:r w:rsidRPr="008627B9">
        <w:t xml:space="preserve">specificatamente identificati dalle reti infrastrutturali energetiche europee (TEN-E). In questa prima </w:t>
      </w:r>
      <w:r w:rsidRPr="008627B9">
        <w:rPr>
          <w:i/>
          <w:iCs/>
        </w:rPr>
        <w:t>call</w:t>
      </w:r>
      <w:r w:rsidRPr="008627B9">
        <w:t xml:space="preserve"> “sinergica”, sono stati messi a disposizione 40 milioni di euro, equamente destinati al settore trasporti e al settore dell’energia.</w:t>
      </w:r>
    </w:p>
    <w:p w14:paraId="68A851E7" w14:textId="77777777" w:rsidR="00343FB0" w:rsidRPr="008627B9" w:rsidRDefault="00343FB0">
      <w:pPr>
        <w:ind w:firstLine="567"/>
        <w:jc w:val="both"/>
        <w:rPr>
          <w:b/>
          <w:bCs/>
        </w:rPr>
      </w:pPr>
      <w:r w:rsidRPr="008627B9">
        <w:t xml:space="preserve">Delle 9 proposte presentate e ritenute ammissibili da tutti gli Stati membri, 7 hanno ricevuto il cofinanziamento per un contributo complessivo di circa 22,1 milioni di </w:t>
      </w:r>
      <w:proofErr w:type="gramStart"/>
      <w:r w:rsidRPr="008627B9">
        <w:t>Euro</w:t>
      </w:r>
      <w:proofErr w:type="gramEnd"/>
      <w:r w:rsidRPr="008627B9">
        <w:t>, coinvolgendo complessivamente 28 operatori privati con azioni che si sviluppano nei territori di 11 Stati membri ad esclusione dell’Italia.</w:t>
      </w:r>
    </w:p>
    <w:p w14:paraId="1C5AFE50" w14:textId="77777777" w:rsidR="00BE04A6" w:rsidRDefault="00BE04A6" w:rsidP="00343FB0">
      <w:pPr>
        <w:jc w:val="both"/>
        <w:rPr>
          <w:b/>
          <w:bCs/>
        </w:rPr>
      </w:pPr>
    </w:p>
    <w:p w14:paraId="69DB030D" w14:textId="77777777" w:rsidR="00412E5A" w:rsidRPr="008627B9" w:rsidRDefault="00412E5A" w:rsidP="00343FB0">
      <w:pPr>
        <w:jc w:val="both"/>
        <w:rPr>
          <w:b/>
          <w:bCs/>
        </w:rPr>
      </w:pPr>
    </w:p>
    <w:p w14:paraId="1210E836" w14:textId="77777777" w:rsidR="00343FB0" w:rsidRDefault="00343FB0" w:rsidP="00343FB0">
      <w:pPr>
        <w:jc w:val="both"/>
        <w:rPr>
          <w:b/>
          <w:bCs/>
        </w:rPr>
      </w:pPr>
      <w:r w:rsidRPr="008627B9">
        <w:rPr>
          <w:b/>
          <w:bCs/>
        </w:rPr>
        <w:t>XI.4.4.4 - Bando CEF Transport 2016</w:t>
      </w:r>
    </w:p>
    <w:p w14:paraId="2DA914F8" w14:textId="77777777" w:rsidR="00514CAB" w:rsidRPr="008627B9" w:rsidRDefault="00514CAB" w:rsidP="00343FB0">
      <w:pPr>
        <w:jc w:val="both"/>
        <w:rPr>
          <w:b/>
          <w:bCs/>
        </w:rPr>
      </w:pPr>
    </w:p>
    <w:p w14:paraId="4A962E28" w14:textId="77777777" w:rsidR="00343FB0" w:rsidRPr="008627B9" w:rsidRDefault="00343FB0" w:rsidP="00343FB0">
      <w:pPr>
        <w:ind w:firstLine="708"/>
        <w:jc w:val="both"/>
      </w:pPr>
      <w:r w:rsidRPr="008627B9">
        <w:t xml:space="preserve">Il terzo bando del programma CEF, pubblicato nell’ottobre 2016, ha messo a disposizione circa 1,94 miliardi di euro su bando annuale e multi-annuale come riportato nella </w:t>
      </w:r>
      <w:proofErr w:type="spellStart"/>
      <w:r w:rsidRPr="008627B9">
        <w:t>Tab</w:t>
      </w:r>
      <w:proofErr w:type="spellEnd"/>
      <w:r w:rsidRPr="008627B9">
        <w:t>. XI.4.4.4.1.</w:t>
      </w:r>
    </w:p>
    <w:p w14:paraId="7E7599FB" w14:textId="77777777" w:rsidR="00343FB0" w:rsidRPr="008627B9" w:rsidRDefault="00343FB0" w:rsidP="00343FB0">
      <w:pPr>
        <w:ind w:firstLine="708"/>
        <w:jc w:val="both"/>
      </w:pPr>
    </w:p>
    <w:p w14:paraId="00A13024" w14:textId="77777777" w:rsidR="00343FB0" w:rsidRDefault="00343FB0" w:rsidP="00343FB0">
      <w:pPr>
        <w:ind w:left="284" w:hanging="284"/>
        <w:rPr>
          <w:b/>
          <w:bCs/>
        </w:rPr>
      </w:pPr>
      <w:proofErr w:type="spellStart"/>
      <w:r w:rsidRPr="008627B9">
        <w:rPr>
          <w:b/>
          <w:bCs/>
        </w:rPr>
        <w:t>Tab</w:t>
      </w:r>
      <w:proofErr w:type="spellEnd"/>
      <w:r w:rsidRPr="008627B9">
        <w:rPr>
          <w:b/>
          <w:bCs/>
        </w:rPr>
        <w:t xml:space="preserve">. XI.4.4.4.1 - Dotazione finanziaria Bando CEF </w:t>
      </w:r>
      <w:proofErr w:type="spellStart"/>
      <w:r w:rsidRPr="008627B9">
        <w:rPr>
          <w:b/>
          <w:bCs/>
        </w:rPr>
        <w:t>Transport</w:t>
      </w:r>
      <w:proofErr w:type="spellEnd"/>
      <w:r w:rsidRPr="008627B9">
        <w:rPr>
          <w:b/>
          <w:bCs/>
        </w:rPr>
        <w:t xml:space="preserve"> 2016</w:t>
      </w:r>
    </w:p>
    <w:p w14:paraId="42C09597" w14:textId="77777777" w:rsidR="00412E5A" w:rsidRPr="008627B9" w:rsidRDefault="00412E5A" w:rsidP="00343FB0">
      <w:pPr>
        <w:ind w:left="284" w:hanging="284"/>
        <w:rPr>
          <w:b/>
          <w:bCs/>
        </w:rPr>
      </w:pPr>
    </w:p>
    <w:tbl>
      <w:tblPr>
        <w:tblStyle w:val="TableNormal1"/>
        <w:tblW w:w="1015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510"/>
        <w:gridCol w:w="3641"/>
      </w:tblGrid>
      <w:tr w:rsidR="00343FB0" w:rsidRPr="00C609A1" w14:paraId="033F25DF" w14:textId="77777777" w:rsidTr="00412E5A">
        <w:trPr>
          <w:trHeight w:hRule="exact" w:val="292"/>
        </w:trPr>
        <w:tc>
          <w:tcPr>
            <w:tcW w:w="651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137AAC1" w14:textId="77777777" w:rsidR="00343FB0" w:rsidRPr="00F63DA4" w:rsidRDefault="00343FB0" w:rsidP="00343FB0">
            <w:pPr>
              <w:jc w:val="both"/>
              <w:rPr>
                <w:sz w:val="22"/>
                <w:szCs w:val="22"/>
              </w:rPr>
            </w:pPr>
            <w:r w:rsidRPr="00F63DA4">
              <w:rPr>
                <w:b/>
                <w:bCs/>
                <w:sz w:val="22"/>
                <w:szCs w:val="22"/>
              </w:rPr>
              <w:t>Bando</w:t>
            </w:r>
          </w:p>
        </w:tc>
        <w:tc>
          <w:tcPr>
            <w:tcW w:w="364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F9E9ECD" w14:textId="77777777" w:rsidR="00343FB0" w:rsidRPr="00F63DA4" w:rsidRDefault="00343FB0" w:rsidP="00343FB0">
            <w:pPr>
              <w:jc w:val="both"/>
              <w:rPr>
                <w:sz w:val="22"/>
                <w:szCs w:val="22"/>
              </w:rPr>
            </w:pPr>
            <w:r w:rsidRPr="00F63DA4">
              <w:rPr>
                <w:b/>
                <w:bCs/>
                <w:sz w:val="22"/>
                <w:szCs w:val="22"/>
              </w:rPr>
              <w:t>Budget call (miliardi €)</w:t>
            </w:r>
          </w:p>
        </w:tc>
      </w:tr>
      <w:tr w:rsidR="00343FB0" w:rsidRPr="00C609A1" w14:paraId="45DB9157" w14:textId="77777777" w:rsidTr="00412E5A">
        <w:trPr>
          <w:trHeight w:hRule="exact" w:val="292"/>
        </w:trPr>
        <w:tc>
          <w:tcPr>
            <w:tcW w:w="6510" w:type="dxa"/>
            <w:tcBorders>
              <w:top w:val="single" w:sz="4" w:space="0" w:color="000000"/>
              <w:left w:val="nil"/>
              <w:bottom w:val="nil"/>
              <w:right w:val="nil"/>
            </w:tcBorders>
            <w:shd w:val="clear" w:color="auto" w:fill="auto"/>
            <w:tcMar>
              <w:top w:w="80" w:type="dxa"/>
              <w:left w:w="80" w:type="dxa"/>
              <w:bottom w:w="80" w:type="dxa"/>
              <w:right w:w="80" w:type="dxa"/>
            </w:tcMar>
          </w:tcPr>
          <w:p w14:paraId="289C982E"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0023756F" w:rsidRPr="00B340E0">
              <w:rPr>
                <w:i/>
                <w:sz w:val="22"/>
                <w:szCs w:val="22"/>
                <w:lang w:val="en-US"/>
              </w:rPr>
              <w:t>Funding Objective</w:t>
            </w:r>
            <w:r w:rsidRPr="00450E48">
              <w:rPr>
                <w:sz w:val="22"/>
                <w:szCs w:val="22"/>
                <w:lang w:val="en-US"/>
              </w:rPr>
              <w:t xml:space="preserve"> 1-2-3)</w:t>
            </w:r>
          </w:p>
        </w:tc>
        <w:tc>
          <w:tcPr>
            <w:tcW w:w="3641" w:type="dxa"/>
            <w:tcBorders>
              <w:top w:val="single" w:sz="4" w:space="0" w:color="000000"/>
              <w:left w:val="nil"/>
              <w:bottom w:val="nil"/>
              <w:right w:val="nil"/>
            </w:tcBorders>
            <w:shd w:val="clear" w:color="auto" w:fill="auto"/>
            <w:tcMar>
              <w:top w:w="80" w:type="dxa"/>
              <w:left w:w="80" w:type="dxa"/>
              <w:bottom w:w="80" w:type="dxa"/>
              <w:right w:w="80" w:type="dxa"/>
            </w:tcMar>
          </w:tcPr>
          <w:p w14:paraId="1A86F116" w14:textId="77777777" w:rsidR="00343FB0" w:rsidRPr="00F63DA4" w:rsidRDefault="00343FB0" w:rsidP="00343FB0">
            <w:pPr>
              <w:jc w:val="center"/>
              <w:rPr>
                <w:sz w:val="22"/>
                <w:szCs w:val="22"/>
              </w:rPr>
            </w:pPr>
            <w:r w:rsidRPr="00F63DA4">
              <w:rPr>
                <w:sz w:val="22"/>
                <w:szCs w:val="22"/>
              </w:rPr>
              <w:t>0,65</w:t>
            </w:r>
          </w:p>
        </w:tc>
      </w:tr>
      <w:tr w:rsidR="00343FB0" w:rsidRPr="00C609A1" w14:paraId="767D171F" w14:textId="77777777" w:rsidTr="00412E5A">
        <w:trPr>
          <w:trHeight w:hRule="exact" w:val="292"/>
        </w:trPr>
        <w:tc>
          <w:tcPr>
            <w:tcW w:w="6510" w:type="dxa"/>
            <w:tcBorders>
              <w:top w:val="nil"/>
              <w:left w:val="nil"/>
              <w:bottom w:val="nil"/>
              <w:right w:val="nil"/>
            </w:tcBorders>
            <w:shd w:val="clear" w:color="auto" w:fill="auto"/>
            <w:tcMar>
              <w:top w:w="80" w:type="dxa"/>
              <w:left w:w="80" w:type="dxa"/>
              <w:bottom w:w="80" w:type="dxa"/>
              <w:right w:w="80" w:type="dxa"/>
            </w:tcMar>
          </w:tcPr>
          <w:p w14:paraId="136380DD"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Cohesion envelope</w:t>
            </w:r>
            <w:r w:rsidRPr="00450E48">
              <w:rPr>
                <w:sz w:val="22"/>
                <w:szCs w:val="22"/>
                <w:lang w:val="en-US"/>
              </w:rPr>
              <w:t xml:space="preserve"> (</w:t>
            </w:r>
            <w:r w:rsidR="0023756F" w:rsidRPr="00B340E0">
              <w:rPr>
                <w:i/>
                <w:sz w:val="22"/>
                <w:szCs w:val="22"/>
                <w:lang w:val="en-US"/>
              </w:rPr>
              <w:t>Funding Objective</w:t>
            </w:r>
            <w:r w:rsidRPr="00450E48">
              <w:rPr>
                <w:sz w:val="22"/>
                <w:szCs w:val="22"/>
                <w:lang w:val="en-US"/>
              </w:rPr>
              <w:t xml:space="preserve"> 1-2-3)</w:t>
            </w:r>
          </w:p>
        </w:tc>
        <w:tc>
          <w:tcPr>
            <w:tcW w:w="3641" w:type="dxa"/>
            <w:tcBorders>
              <w:top w:val="nil"/>
              <w:left w:val="nil"/>
              <w:bottom w:val="nil"/>
              <w:right w:val="nil"/>
            </w:tcBorders>
            <w:shd w:val="clear" w:color="auto" w:fill="auto"/>
            <w:tcMar>
              <w:top w:w="80" w:type="dxa"/>
              <w:left w:w="80" w:type="dxa"/>
              <w:bottom w:w="80" w:type="dxa"/>
              <w:right w:w="80" w:type="dxa"/>
            </w:tcMar>
          </w:tcPr>
          <w:p w14:paraId="6B5351FC" w14:textId="77777777" w:rsidR="00343FB0" w:rsidRPr="00F63DA4" w:rsidRDefault="00343FB0" w:rsidP="00343FB0">
            <w:pPr>
              <w:jc w:val="center"/>
              <w:rPr>
                <w:sz w:val="22"/>
                <w:szCs w:val="22"/>
              </w:rPr>
            </w:pPr>
            <w:r w:rsidRPr="00F63DA4">
              <w:rPr>
                <w:sz w:val="22"/>
                <w:szCs w:val="22"/>
              </w:rPr>
              <w:t>0,85</w:t>
            </w:r>
          </w:p>
        </w:tc>
      </w:tr>
      <w:tr w:rsidR="00343FB0" w:rsidRPr="00C609A1" w14:paraId="294B53C4" w14:textId="77777777" w:rsidTr="00412E5A">
        <w:trPr>
          <w:trHeight w:hRule="exact" w:val="332"/>
        </w:trPr>
        <w:tc>
          <w:tcPr>
            <w:tcW w:w="6510" w:type="dxa"/>
            <w:tcBorders>
              <w:top w:val="nil"/>
              <w:left w:val="nil"/>
              <w:bottom w:val="nil"/>
              <w:right w:val="nil"/>
            </w:tcBorders>
            <w:shd w:val="clear" w:color="auto" w:fill="auto"/>
            <w:tcMar>
              <w:top w:w="80" w:type="dxa"/>
              <w:left w:w="80" w:type="dxa"/>
              <w:bottom w:w="80" w:type="dxa"/>
              <w:right w:w="80" w:type="dxa"/>
            </w:tcMar>
          </w:tcPr>
          <w:p w14:paraId="37ECF3BA" w14:textId="77777777" w:rsidR="00343FB0" w:rsidRPr="00450E48" w:rsidRDefault="00343FB0" w:rsidP="00343FB0">
            <w:pPr>
              <w:jc w:val="both"/>
              <w:rPr>
                <w:sz w:val="22"/>
                <w:szCs w:val="22"/>
                <w:lang w:val="en-US"/>
              </w:rPr>
            </w:pP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0023756F" w:rsidRPr="00B340E0">
              <w:rPr>
                <w:i/>
                <w:sz w:val="22"/>
                <w:szCs w:val="22"/>
                <w:lang w:val="en-US"/>
              </w:rPr>
              <w:t>Funding Objective</w:t>
            </w:r>
            <w:r w:rsidRPr="00450E48">
              <w:rPr>
                <w:sz w:val="22"/>
                <w:szCs w:val="22"/>
                <w:lang w:val="en-US"/>
              </w:rPr>
              <w:t xml:space="preserve"> 1)</w:t>
            </w:r>
          </w:p>
        </w:tc>
        <w:tc>
          <w:tcPr>
            <w:tcW w:w="3641" w:type="dxa"/>
            <w:tcBorders>
              <w:top w:val="nil"/>
              <w:left w:val="nil"/>
              <w:bottom w:val="nil"/>
              <w:right w:val="nil"/>
            </w:tcBorders>
            <w:shd w:val="clear" w:color="auto" w:fill="auto"/>
            <w:tcMar>
              <w:top w:w="80" w:type="dxa"/>
              <w:left w:w="80" w:type="dxa"/>
              <w:bottom w:w="80" w:type="dxa"/>
              <w:right w:w="80" w:type="dxa"/>
            </w:tcMar>
          </w:tcPr>
          <w:p w14:paraId="184EFCF7" w14:textId="77777777" w:rsidR="00343FB0" w:rsidRPr="00F63DA4" w:rsidRDefault="00343FB0" w:rsidP="00343FB0">
            <w:pPr>
              <w:jc w:val="center"/>
              <w:rPr>
                <w:sz w:val="22"/>
                <w:szCs w:val="22"/>
              </w:rPr>
            </w:pPr>
            <w:r w:rsidRPr="00F63DA4">
              <w:rPr>
                <w:sz w:val="22"/>
                <w:szCs w:val="22"/>
              </w:rPr>
              <w:t>0,19</w:t>
            </w:r>
          </w:p>
        </w:tc>
      </w:tr>
      <w:tr w:rsidR="00343FB0" w:rsidRPr="00C609A1" w14:paraId="2AB73073" w14:textId="77777777" w:rsidTr="00412E5A">
        <w:trPr>
          <w:trHeight w:hRule="exact" w:val="302"/>
        </w:trPr>
        <w:tc>
          <w:tcPr>
            <w:tcW w:w="6510" w:type="dxa"/>
            <w:tcBorders>
              <w:top w:val="nil"/>
              <w:left w:val="nil"/>
              <w:bottom w:val="single" w:sz="4" w:space="0" w:color="000000"/>
              <w:right w:val="nil"/>
            </w:tcBorders>
            <w:shd w:val="clear" w:color="auto" w:fill="auto"/>
            <w:tcMar>
              <w:top w:w="80" w:type="dxa"/>
              <w:left w:w="80" w:type="dxa"/>
              <w:bottom w:w="80" w:type="dxa"/>
              <w:right w:w="80" w:type="dxa"/>
            </w:tcMar>
          </w:tcPr>
          <w:p w14:paraId="49D95D58" w14:textId="77777777" w:rsidR="00343FB0" w:rsidRPr="00450E48" w:rsidRDefault="00343FB0" w:rsidP="00706961">
            <w:pPr>
              <w:jc w:val="both"/>
              <w:rPr>
                <w:sz w:val="22"/>
                <w:szCs w:val="22"/>
                <w:lang w:val="en-US"/>
              </w:rPr>
            </w:pPr>
            <w:proofErr w:type="spellStart"/>
            <w:r w:rsidRPr="00450E48">
              <w:rPr>
                <w:sz w:val="22"/>
                <w:szCs w:val="22"/>
                <w:lang w:val="en-US"/>
              </w:rPr>
              <w:t>Annuale</w:t>
            </w:r>
            <w:proofErr w:type="spellEnd"/>
            <w:r w:rsidRPr="00450E48">
              <w:rPr>
                <w:i/>
                <w:iCs/>
                <w:sz w:val="22"/>
                <w:szCs w:val="22"/>
                <w:lang w:val="en-US"/>
              </w:rPr>
              <w:t xml:space="preserve"> Cohesion envelope</w:t>
            </w:r>
            <w:r w:rsidRPr="00450E48">
              <w:rPr>
                <w:sz w:val="22"/>
                <w:szCs w:val="22"/>
                <w:lang w:val="en-US"/>
              </w:rPr>
              <w:t xml:space="preserve"> (</w:t>
            </w:r>
            <w:r w:rsidR="0023756F" w:rsidRPr="00B340E0">
              <w:rPr>
                <w:i/>
                <w:sz w:val="22"/>
                <w:szCs w:val="22"/>
                <w:lang w:val="en-US"/>
              </w:rPr>
              <w:t>Funding Objective</w:t>
            </w:r>
            <w:r w:rsidR="0023756F" w:rsidRPr="00450E48">
              <w:rPr>
                <w:sz w:val="22"/>
                <w:szCs w:val="22"/>
                <w:lang w:val="en-US"/>
              </w:rPr>
              <w:t xml:space="preserve"> </w:t>
            </w:r>
            <w:r w:rsidRPr="00450E48">
              <w:rPr>
                <w:sz w:val="22"/>
                <w:szCs w:val="22"/>
                <w:lang w:val="en-US"/>
              </w:rPr>
              <w:t>1-2)</w:t>
            </w:r>
          </w:p>
        </w:tc>
        <w:tc>
          <w:tcPr>
            <w:tcW w:w="3641" w:type="dxa"/>
            <w:tcBorders>
              <w:top w:val="nil"/>
              <w:left w:val="nil"/>
              <w:bottom w:val="single" w:sz="4" w:space="0" w:color="000000"/>
              <w:right w:val="nil"/>
            </w:tcBorders>
            <w:shd w:val="clear" w:color="auto" w:fill="auto"/>
            <w:tcMar>
              <w:top w:w="80" w:type="dxa"/>
              <w:left w:w="80" w:type="dxa"/>
              <w:bottom w:w="80" w:type="dxa"/>
              <w:right w:w="80" w:type="dxa"/>
            </w:tcMar>
          </w:tcPr>
          <w:p w14:paraId="32DEDC53" w14:textId="77777777" w:rsidR="00343FB0" w:rsidRPr="00F63DA4" w:rsidRDefault="00343FB0" w:rsidP="00343FB0">
            <w:pPr>
              <w:jc w:val="center"/>
              <w:rPr>
                <w:sz w:val="22"/>
                <w:szCs w:val="22"/>
              </w:rPr>
            </w:pPr>
            <w:r w:rsidRPr="00F63DA4">
              <w:rPr>
                <w:sz w:val="22"/>
                <w:szCs w:val="22"/>
              </w:rPr>
              <w:t>0,25</w:t>
            </w:r>
          </w:p>
        </w:tc>
      </w:tr>
      <w:tr w:rsidR="00343FB0" w:rsidRPr="00C609A1" w14:paraId="423A8A8E" w14:textId="77777777" w:rsidTr="00412E5A">
        <w:trPr>
          <w:trHeight w:hRule="exact" w:val="406"/>
        </w:trPr>
        <w:tc>
          <w:tcPr>
            <w:tcW w:w="651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0CA6C84" w14:textId="77777777" w:rsidR="00343FB0" w:rsidRPr="00F63DA4" w:rsidRDefault="00343FB0" w:rsidP="00343FB0">
            <w:pPr>
              <w:jc w:val="both"/>
              <w:rPr>
                <w:sz w:val="22"/>
                <w:szCs w:val="22"/>
              </w:rPr>
            </w:pPr>
            <w:r w:rsidRPr="00F63DA4">
              <w:rPr>
                <w:b/>
                <w:bCs/>
                <w:sz w:val="22"/>
                <w:szCs w:val="22"/>
              </w:rPr>
              <w:t>Totale</w:t>
            </w:r>
          </w:p>
        </w:tc>
        <w:tc>
          <w:tcPr>
            <w:tcW w:w="364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0B1DB66" w14:textId="77777777" w:rsidR="00343FB0" w:rsidRPr="00F63DA4" w:rsidRDefault="00343FB0" w:rsidP="00343FB0">
            <w:pPr>
              <w:jc w:val="center"/>
              <w:rPr>
                <w:sz w:val="22"/>
                <w:szCs w:val="22"/>
              </w:rPr>
            </w:pPr>
            <w:r w:rsidRPr="00F63DA4">
              <w:rPr>
                <w:b/>
                <w:bCs/>
                <w:sz w:val="22"/>
                <w:szCs w:val="22"/>
              </w:rPr>
              <w:t>1,94</w:t>
            </w:r>
          </w:p>
        </w:tc>
      </w:tr>
    </w:tbl>
    <w:p w14:paraId="5AE253C2" w14:textId="77777777" w:rsidR="00343FB0" w:rsidRDefault="00343FB0" w:rsidP="00343FB0">
      <w:pPr>
        <w:rPr>
          <w:sz w:val="18"/>
          <w:szCs w:val="18"/>
        </w:rPr>
      </w:pPr>
      <w:r w:rsidRPr="008627B9">
        <w:rPr>
          <w:i/>
          <w:iCs/>
          <w:sz w:val="18"/>
          <w:szCs w:val="18"/>
        </w:rPr>
        <w:t>Fonte</w:t>
      </w:r>
      <w:r w:rsidRPr="008627B9">
        <w:rPr>
          <w:sz w:val="18"/>
          <w:szCs w:val="18"/>
        </w:rPr>
        <w:t>: Sito INEA</w:t>
      </w:r>
      <w:r w:rsidR="00412E5A">
        <w:rPr>
          <w:sz w:val="18"/>
          <w:szCs w:val="18"/>
        </w:rPr>
        <w:t>.</w:t>
      </w:r>
      <w:r w:rsidRPr="008627B9">
        <w:rPr>
          <w:sz w:val="18"/>
          <w:szCs w:val="18"/>
        </w:rPr>
        <w:t xml:space="preserve"> </w:t>
      </w:r>
    </w:p>
    <w:p w14:paraId="37B42D8B" w14:textId="77777777" w:rsidR="00514CAB" w:rsidRPr="00514CAB" w:rsidRDefault="00514CAB" w:rsidP="00343FB0">
      <w:pPr>
        <w:rPr>
          <w:sz w:val="18"/>
          <w:szCs w:val="18"/>
        </w:rPr>
      </w:pPr>
    </w:p>
    <w:p w14:paraId="1643EED6" w14:textId="77777777" w:rsidR="001B6714" w:rsidRDefault="001B6714" w:rsidP="00343FB0">
      <w:pPr>
        <w:ind w:firstLine="708"/>
        <w:jc w:val="both"/>
      </w:pPr>
    </w:p>
    <w:p w14:paraId="472E4A34" w14:textId="77777777" w:rsidR="00343FB0" w:rsidRPr="008627B9" w:rsidRDefault="00343FB0" w:rsidP="00343FB0">
      <w:pPr>
        <w:ind w:firstLine="708"/>
        <w:jc w:val="both"/>
      </w:pPr>
      <w:r w:rsidRPr="008627B9">
        <w:t>In totale sono state presentate</w:t>
      </w:r>
      <w:r w:rsidR="0023756F">
        <w:t xml:space="preserve"> dagli Stati membri</w:t>
      </w:r>
      <w:r w:rsidRPr="008627B9">
        <w:t xml:space="preserve"> 332 proposte delle quali 152 sono state finanziate con 2,66 miliardi di euro complessivi, ben oltre la disponibilità prevista da bando.</w:t>
      </w:r>
    </w:p>
    <w:p w14:paraId="55E18B26" w14:textId="77777777" w:rsidR="00343FB0" w:rsidRPr="00412E5A" w:rsidRDefault="00343FB0" w:rsidP="00343FB0">
      <w:pPr>
        <w:ind w:firstLine="708"/>
        <w:jc w:val="both"/>
        <w:rPr>
          <w:color w:val="auto"/>
        </w:rPr>
      </w:pPr>
      <w:r w:rsidRPr="008627B9">
        <w:t xml:space="preserve">Delle 33 </w:t>
      </w:r>
      <w:r w:rsidRPr="00412E5A">
        <w:rPr>
          <w:color w:val="auto"/>
        </w:rPr>
        <w:t xml:space="preserve">proposte progettuali presentate dall’Italia, ne sono state finanziate 13 (di cui 9 composte da una </w:t>
      </w:r>
      <w:r w:rsidRPr="00412E5A">
        <w:rPr>
          <w:i/>
          <w:iCs/>
          <w:color w:val="auto"/>
        </w:rPr>
        <w:t>partnership</w:t>
      </w:r>
      <w:r w:rsidRPr="00412E5A">
        <w:rPr>
          <w:color w:val="auto"/>
        </w:rPr>
        <w:t xml:space="preserve"> di più </w:t>
      </w:r>
      <w:r w:rsidR="002F0E0B" w:rsidRPr="00412E5A">
        <w:rPr>
          <w:color w:val="auto"/>
        </w:rPr>
        <w:t>Paesi)</w:t>
      </w:r>
      <w:r w:rsidRPr="00412E5A">
        <w:rPr>
          <w:color w:val="auto"/>
        </w:rPr>
        <w:t xml:space="preserve"> per un finanziamento complessivo di circa 110 milioni di euro, come riportato nella </w:t>
      </w:r>
      <w:proofErr w:type="spellStart"/>
      <w:r w:rsidRPr="00412E5A">
        <w:rPr>
          <w:color w:val="auto"/>
        </w:rPr>
        <w:t>Tab</w:t>
      </w:r>
      <w:proofErr w:type="spellEnd"/>
      <w:r w:rsidRPr="00412E5A">
        <w:rPr>
          <w:color w:val="auto"/>
        </w:rPr>
        <w:t>. XI.4.4.4.2.</w:t>
      </w:r>
    </w:p>
    <w:p w14:paraId="48A41DFA" w14:textId="77777777" w:rsidR="00514CAB" w:rsidRPr="00412E5A" w:rsidRDefault="00514CAB" w:rsidP="00343FB0">
      <w:pPr>
        <w:ind w:firstLine="708"/>
        <w:jc w:val="both"/>
        <w:rPr>
          <w:color w:val="auto"/>
        </w:rPr>
      </w:pPr>
    </w:p>
    <w:p w14:paraId="5B1ECC3F" w14:textId="77777777" w:rsidR="00343FB0" w:rsidRDefault="00343FB0" w:rsidP="00343FB0">
      <w:pPr>
        <w:ind w:left="284" w:hanging="284"/>
        <w:rPr>
          <w:b/>
          <w:bCs/>
          <w:color w:val="auto"/>
        </w:rPr>
      </w:pPr>
      <w:proofErr w:type="spellStart"/>
      <w:r w:rsidRPr="00412E5A">
        <w:rPr>
          <w:b/>
          <w:bCs/>
          <w:color w:val="auto"/>
        </w:rPr>
        <w:t>Tab</w:t>
      </w:r>
      <w:proofErr w:type="spellEnd"/>
      <w:r w:rsidRPr="00412E5A">
        <w:rPr>
          <w:b/>
          <w:bCs/>
          <w:color w:val="auto"/>
        </w:rPr>
        <w:t xml:space="preserve">. XI.4.4.4.2 - Sintesi Bando CEF </w:t>
      </w:r>
      <w:proofErr w:type="spellStart"/>
      <w:r w:rsidRPr="00412E5A">
        <w:rPr>
          <w:b/>
          <w:bCs/>
          <w:color w:val="auto"/>
        </w:rPr>
        <w:t>Transport</w:t>
      </w:r>
      <w:proofErr w:type="spellEnd"/>
      <w:r w:rsidRPr="00412E5A">
        <w:rPr>
          <w:b/>
          <w:bCs/>
          <w:color w:val="auto"/>
        </w:rPr>
        <w:t xml:space="preserve"> 2016</w:t>
      </w:r>
    </w:p>
    <w:p w14:paraId="478E7137" w14:textId="77777777" w:rsidR="00412E5A" w:rsidRPr="00412E5A" w:rsidRDefault="00412E5A" w:rsidP="00343FB0">
      <w:pPr>
        <w:ind w:left="284" w:hanging="284"/>
        <w:rPr>
          <w:b/>
          <w:bCs/>
          <w:color w:val="auto"/>
        </w:rPr>
      </w:pPr>
    </w:p>
    <w:tbl>
      <w:tblPr>
        <w:tblStyle w:val="TableNormal1"/>
        <w:tblW w:w="100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33"/>
        <w:gridCol w:w="2598"/>
        <w:gridCol w:w="2604"/>
        <w:gridCol w:w="3357"/>
      </w:tblGrid>
      <w:tr w:rsidR="00412E5A" w:rsidRPr="00412E5A" w14:paraId="53FA3E1A" w14:textId="77777777" w:rsidTr="00412E5A">
        <w:trPr>
          <w:trHeight w:val="149"/>
        </w:trPr>
        <w:tc>
          <w:tcPr>
            <w:tcW w:w="1533"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E9A2D23" w14:textId="77777777" w:rsidR="00343FB0" w:rsidRPr="00412E5A" w:rsidRDefault="00343FB0" w:rsidP="00343FB0">
            <w:pPr>
              <w:rPr>
                <w:color w:val="auto"/>
                <w:sz w:val="22"/>
                <w:szCs w:val="22"/>
              </w:rPr>
            </w:pPr>
          </w:p>
        </w:tc>
        <w:tc>
          <w:tcPr>
            <w:tcW w:w="2598"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BC26F9B" w14:textId="77777777" w:rsidR="00343FB0" w:rsidRPr="00412E5A" w:rsidRDefault="00343FB0" w:rsidP="00343FB0">
            <w:pPr>
              <w:jc w:val="both"/>
              <w:rPr>
                <w:color w:val="auto"/>
                <w:sz w:val="22"/>
                <w:szCs w:val="22"/>
              </w:rPr>
            </w:pPr>
            <w:r w:rsidRPr="00412E5A">
              <w:rPr>
                <w:b/>
                <w:bCs/>
                <w:color w:val="auto"/>
                <w:sz w:val="22"/>
                <w:szCs w:val="22"/>
              </w:rPr>
              <w:t>Domande ricevute</w:t>
            </w:r>
          </w:p>
        </w:tc>
        <w:tc>
          <w:tcPr>
            <w:tcW w:w="26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D40699F" w14:textId="77777777" w:rsidR="00343FB0" w:rsidRPr="00412E5A" w:rsidRDefault="00343FB0" w:rsidP="00343FB0">
            <w:pPr>
              <w:jc w:val="both"/>
              <w:rPr>
                <w:color w:val="auto"/>
                <w:sz w:val="22"/>
                <w:szCs w:val="22"/>
              </w:rPr>
            </w:pPr>
            <w:r w:rsidRPr="00412E5A">
              <w:rPr>
                <w:b/>
                <w:bCs/>
                <w:color w:val="auto"/>
                <w:sz w:val="22"/>
                <w:szCs w:val="22"/>
              </w:rPr>
              <w:t>Azioni finanziate</w:t>
            </w:r>
          </w:p>
        </w:tc>
        <w:tc>
          <w:tcPr>
            <w:tcW w:w="335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B20CA36" w14:textId="77777777" w:rsidR="00343FB0" w:rsidRPr="00412E5A" w:rsidRDefault="00343FB0" w:rsidP="00343FB0">
            <w:pPr>
              <w:jc w:val="both"/>
              <w:rPr>
                <w:color w:val="auto"/>
                <w:sz w:val="22"/>
                <w:szCs w:val="22"/>
              </w:rPr>
            </w:pPr>
            <w:r w:rsidRPr="00412E5A">
              <w:rPr>
                <w:b/>
                <w:bCs/>
                <w:color w:val="auto"/>
                <w:sz w:val="22"/>
                <w:szCs w:val="22"/>
              </w:rPr>
              <w:t>Supporto CEF (miliardi €)</w:t>
            </w:r>
          </w:p>
        </w:tc>
      </w:tr>
      <w:tr w:rsidR="00412E5A" w:rsidRPr="00412E5A" w14:paraId="4612A7FC" w14:textId="77777777" w:rsidTr="00412E5A">
        <w:trPr>
          <w:trHeight w:val="14"/>
        </w:trPr>
        <w:tc>
          <w:tcPr>
            <w:tcW w:w="1533" w:type="dxa"/>
            <w:tcBorders>
              <w:top w:val="single" w:sz="4" w:space="0" w:color="000000"/>
              <w:left w:val="nil"/>
              <w:bottom w:val="nil"/>
              <w:right w:val="nil"/>
            </w:tcBorders>
            <w:shd w:val="clear" w:color="auto" w:fill="auto"/>
            <w:tcMar>
              <w:top w:w="80" w:type="dxa"/>
              <w:left w:w="80" w:type="dxa"/>
              <w:bottom w:w="80" w:type="dxa"/>
              <w:right w:w="80" w:type="dxa"/>
            </w:tcMar>
          </w:tcPr>
          <w:p w14:paraId="422D4609" w14:textId="77777777" w:rsidR="00343FB0" w:rsidRPr="00412E5A" w:rsidRDefault="00343FB0" w:rsidP="00343FB0">
            <w:pPr>
              <w:jc w:val="both"/>
              <w:rPr>
                <w:b/>
                <w:color w:val="auto"/>
                <w:sz w:val="22"/>
                <w:szCs w:val="22"/>
              </w:rPr>
            </w:pPr>
            <w:r w:rsidRPr="00412E5A">
              <w:rPr>
                <w:b/>
                <w:color w:val="auto"/>
                <w:sz w:val="22"/>
                <w:szCs w:val="22"/>
              </w:rPr>
              <w:t>Totali</w:t>
            </w:r>
          </w:p>
        </w:tc>
        <w:tc>
          <w:tcPr>
            <w:tcW w:w="2598" w:type="dxa"/>
            <w:tcBorders>
              <w:top w:val="single" w:sz="4" w:space="0" w:color="000000"/>
              <w:left w:val="nil"/>
              <w:bottom w:val="nil"/>
              <w:right w:val="nil"/>
            </w:tcBorders>
            <w:shd w:val="clear" w:color="auto" w:fill="auto"/>
            <w:tcMar>
              <w:top w:w="80" w:type="dxa"/>
              <w:left w:w="80" w:type="dxa"/>
              <w:bottom w:w="80" w:type="dxa"/>
              <w:right w:w="80" w:type="dxa"/>
            </w:tcMar>
          </w:tcPr>
          <w:p w14:paraId="5DE491E6" w14:textId="77777777" w:rsidR="00343FB0" w:rsidRPr="00412E5A" w:rsidRDefault="00343FB0" w:rsidP="00343FB0">
            <w:pPr>
              <w:jc w:val="center"/>
              <w:rPr>
                <w:b/>
                <w:color w:val="auto"/>
                <w:sz w:val="22"/>
                <w:szCs w:val="22"/>
              </w:rPr>
            </w:pPr>
            <w:r w:rsidRPr="00412E5A">
              <w:rPr>
                <w:b/>
                <w:color w:val="auto"/>
                <w:sz w:val="22"/>
                <w:szCs w:val="22"/>
              </w:rPr>
              <w:t>332</w:t>
            </w:r>
          </w:p>
        </w:tc>
        <w:tc>
          <w:tcPr>
            <w:tcW w:w="2604" w:type="dxa"/>
            <w:tcBorders>
              <w:top w:val="single" w:sz="4" w:space="0" w:color="000000"/>
              <w:left w:val="nil"/>
              <w:bottom w:val="nil"/>
              <w:right w:val="nil"/>
            </w:tcBorders>
            <w:shd w:val="clear" w:color="auto" w:fill="auto"/>
            <w:tcMar>
              <w:top w:w="80" w:type="dxa"/>
              <w:left w:w="80" w:type="dxa"/>
              <w:bottom w:w="80" w:type="dxa"/>
              <w:right w:w="80" w:type="dxa"/>
            </w:tcMar>
          </w:tcPr>
          <w:p w14:paraId="24BDFB19" w14:textId="77777777" w:rsidR="00343FB0" w:rsidRPr="00412E5A" w:rsidRDefault="00343FB0" w:rsidP="00343FB0">
            <w:pPr>
              <w:jc w:val="center"/>
              <w:rPr>
                <w:b/>
                <w:color w:val="auto"/>
                <w:sz w:val="22"/>
                <w:szCs w:val="22"/>
              </w:rPr>
            </w:pPr>
            <w:r w:rsidRPr="00412E5A">
              <w:rPr>
                <w:b/>
                <w:color w:val="auto"/>
                <w:sz w:val="22"/>
                <w:szCs w:val="22"/>
              </w:rPr>
              <w:t>152</w:t>
            </w:r>
          </w:p>
        </w:tc>
        <w:tc>
          <w:tcPr>
            <w:tcW w:w="3357" w:type="dxa"/>
            <w:tcBorders>
              <w:top w:val="single" w:sz="4" w:space="0" w:color="000000"/>
              <w:left w:val="nil"/>
              <w:bottom w:val="nil"/>
              <w:right w:val="nil"/>
            </w:tcBorders>
            <w:shd w:val="clear" w:color="auto" w:fill="auto"/>
            <w:tcMar>
              <w:top w:w="80" w:type="dxa"/>
              <w:left w:w="80" w:type="dxa"/>
              <w:bottom w:w="80" w:type="dxa"/>
              <w:right w:w="80" w:type="dxa"/>
            </w:tcMar>
          </w:tcPr>
          <w:p w14:paraId="2756C00E" w14:textId="77777777" w:rsidR="00343FB0" w:rsidRPr="00412E5A" w:rsidRDefault="00343FB0" w:rsidP="00642353">
            <w:pPr>
              <w:jc w:val="center"/>
              <w:rPr>
                <w:b/>
                <w:color w:val="auto"/>
                <w:sz w:val="22"/>
                <w:szCs w:val="22"/>
                <w:highlight w:val="yellow"/>
              </w:rPr>
            </w:pPr>
            <w:r w:rsidRPr="00412E5A">
              <w:rPr>
                <w:b/>
                <w:color w:val="auto"/>
                <w:sz w:val="22"/>
                <w:szCs w:val="22"/>
              </w:rPr>
              <w:t>2,66</w:t>
            </w:r>
            <w:r w:rsidR="00463FDD" w:rsidRPr="00412E5A">
              <w:rPr>
                <w:b/>
                <w:color w:val="auto"/>
                <w:sz w:val="22"/>
                <w:szCs w:val="22"/>
              </w:rPr>
              <w:t xml:space="preserve"> </w:t>
            </w:r>
          </w:p>
        </w:tc>
      </w:tr>
      <w:tr w:rsidR="00412E5A" w:rsidRPr="00412E5A" w14:paraId="77D57E12" w14:textId="77777777" w:rsidTr="00412E5A">
        <w:trPr>
          <w:trHeight w:val="10"/>
        </w:trPr>
        <w:tc>
          <w:tcPr>
            <w:tcW w:w="1533" w:type="dxa"/>
            <w:tcBorders>
              <w:top w:val="nil"/>
              <w:left w:val="nil"/>
              <w:bottom w:val="single" w:sz="4" w:space="0" w:color="000000"/>
              <w:right w:val="nil"/>
            </w:tcBorders>
            <w:shd w:val="clear" w:color="auto" w:fill="auto"/>
            <w:tcMar>
              <w:top w:w="80" w:type="dxa"/>
              <w:left w:w="80" w:type="dxa"/>
              <w:bottom w:w="80" w:type="dxa"/>
              <w:right w:w="80" w:type="dxa"/>
            </w:tcMar>
          </w:tcPr>
          <w:p w14:paraId="54C352A6" w14:textId="77777777" w:rsidR="00343FB0" w:rsidRPr="00412E5A" w:rsidRDefault="00343FB0" w:rsidP="00343FB0">
            <w:pPr>
              <w:jc w:val="both"/>
              <w:rPr>
                <w:color w:val="auto"/>
                <w:sz w:val="22"/>
                <w:szCs w:val="22"/>
              </w:rPr>
            </w:pPr>
            <w:r w:rsidRPr="00412E5A">
              <w:rPr>
                <w:i/>
                <w:iCs/>
                <w:color w:val="auto"/>
                <w:sz w:val="22"/>
                <w:szCs w:val="22"/>
              </w:rPr>
              <w:t>di cui ITA</w:t>
            </w:r>
          </w:p>
        </w:tc>
        <w:tc>
          <w:tcPr>
            <w:tcW w:w="2598" w:type="dxa"/>
            <w:tcBorders>
              <w:top w:val="nil"/>
              <w:left w:val="nil"/>
              <w:bottom w:val="single" w:sz="4" w:space="0" w:color="000000"/>
              <w:right w:val="nil"/>
            </w:tcBorders>
            <w:shd w:val="clear" w:color="auto" w:fill="auto"/>
            <w:tcMar>
              <w:top w:w="80" w:type="dxa"/>
              <w:left w:w="80" w:type="dxa"/>
              <w:bottom w:w="80" w:type="dxa"/>
              <w:right w:w="80" w:type="dxa"/>
            </w:tcMar>
          </w:tcPr>
          <w:p w14:paraId="64469DEB" w14:textId="77777777" w:rsidR="00343FB0" w:rsidRPr="00412E5A" w:rsidRDefault="00343FB0" w:rsidP="00343FB0">
            <w:pPr>
              <w:jc w:val="center"/>
              <w:rPr>
                <w:color w:val="auto"/>
                <w:sz w:val="22"/>
                <w:szCs w:val="22"/>
              </w:rPr>
            </w:pPr>
            <w:r w:rsidRPr="00412E5A">
              <w:rPr>
                <w:i/>
                <w:iCs/>
                <w:color w:val="auto"/>
                <w:sz w:val="22"/>
                <w:szCs w:val="22"/>
              </w:rPr>
              <w:t>33</w:t>
            </w:r>
          </w:p>
        </w:tc>
        <w:tc>
          <w:tcPr>
            <w:tcW w:w="2604" w:type="dxa"/>
            <w:tcBorders>
              <w:top w:val="nil"/>
              <w:left w:val="nil"/>
              <w:bottom w:val="single" w:sz="4" w:space="0" w:color="000000"/>
              <w:right w:val="nil"/>
            </w:tcBorders>
            <w:shd w:val="clear" w:color="auto" w:fill="auto"/>
            <w:tcMar>
              <w:top w:w="80" w:type="dxa"/>
              <w:left w:w="80" w:type="dxa"/>
              <w:bottom w:w="80" w:type="dxa"/>
              <w:right w:w="80" w:type="dxa"/>
            </w:tcMar>
          </w:tcPr>
          <w:p w14:paraId="042524A1" w14:textId="77777777" w:rsidR="00343FB0" w:rsidRPr="00412E5A" w:rsidRDefault="00343FB0" w:rsidP="00343FB0">
            <w:pPr>
              <w:jc w:val="center"/>
              <w:rPr>
                <w:color w:val="auto"/>
                <w:sz w:val="22"/>
                <w:szCs w:val="22"/>
              </w:rPr>
            </w:pPr>
            <w:r w:rsidRPr="00412E5A">
              <w:rPr>
                <w:i/>
                <w:iCs/>
                <w:color w:val="auto"/>
                <w:sz w:val="22"/>
                <w:szCs w:val="22"/>
              </w:rPr>
              <w:t>13</w:t>
            </w:r>
          </w:p>
        </w:tc>
        <w:tc>
          <w:tcPr>
            <w:tcW w:w="3357" w:type="dxa"/>
            <w:tcBorders>
              <w:top w:val="nil"/>
              <w:left w:val="nil"/>
              <w:bottom w:val="single" w:sz="4" w:space="0" w:color="000000"/>
              <w:right w:val="nil"/>
            </w:tcBorders>
            <w:shd w:val="clear" w:color="auto" w:fill="auto"/>
            <w:tcMar>
              <w:top w:w="80" w:type="dxa"/>
              <w:left w:w="80" w:type="dxa"/>
              <w:bottom w:w="80" w:type="dxa"/>
              <w:right w:w="80" w:type="dxa"/>
            </w:tcMar>
          </w:tcPr>
          <w:p w14:paraId="1FFAE951" w14:textId="77777777" w:rsidR="00343FB0" w:rsidRPr="00412E5A" w:rsidRDefault="00343FB0" w:rsidP="00343FB0">
            <w:pPr>
              <w:jc w:val="center"/>
              <w:rPr>
                <w:color w:val="auto"/>
                <w:sz w:val="22"/>
                <w:szCs w:val="22"/>
              </w:rPr>
            </w:pPr>
            <w:r w:rsidRPr="00412E5A">
              <w:rPr>
                <w:i/>
                <w:iCs/>
                <w:color w:val="auto"/>
                <w:sz w:val="22"/>
                <w:szCs w:val="22"/>
              </w:rPr>
              <w:t>0,11</w:t>
            </w:r>
          </w:p>
        </w:tc>
      </w:tr>
    </w:tbl>
    <w:p w14:paraId="54527AD7" w14:textId="77777777" w:rsidR="00343FB0" w:rsidRPr="00412E5A" w:rsidRDefault="00343FB0" w:rsidP="00343FB0">
      <w:pPr>
        <w:rPr>
          <w:color w:val="auto"/>
          <w:sz w:val="18"/>
          <w:szCs w:val="18"/>
        </w:rPr>
      </w:pPr>
      <w:r w:rsidRPr="00412E5A">
        <w:rPr>
          <w:i/>
          <w:iCs/>
          <w:color w:val="auto"/>
          <w:sz w:val="18"/>
          <w:szCs w:val="18"/>
        </w:rPr>
        <w:t>Fonte</w:t>
      </w:r>
      <w:r w:rsidRPr="00412E5A">
        <w:rPr>
          <w:color w:val="auto"/>
          <w:sz w:val="18"/>
          <w:szCs w:val="18"/>
        </w:rPr>
        <w:t xml:space="preserve">: Sito INEA </w:t>
      </w:r>
    </w:p>
    <w:p w14:paraId="7B3F5F25" w14:textId="77777777" w:rsidR="00343FB0" w:rsidRDefault="00343FB0" w:rsidP="00343FB0">
      <w:pPr>
        <w:pStyle w:val="Paragrafoelenco"/>
        <w:widowControl w:val="0"/>
        <w:ind w:left="0"/>
        <w:rPr>
          <w:color w:val="auto"/>
        </w:rPr>
      </w:pPr>
    </w:p>
    <w:p w14:paraId="493214DD" w14:textId="77777777" w:rsidR="00412E5A" w:rsidRPr="00412E5A" w:rsidRDefault="00412E5A" w:rsidP="00343FB0">
      <w:pPr>
        <w:pStyle w:val="Paragrafoelenco"/>
        <w:widowControl w:val="0"/>
        <w:ind w:left="0"/>
        <w:rPr>
          <w:color w:val="auto"/>
        </w:rPr>
      </w:pPr>
    </w:p>
    <w:p w14:paraId="21573708" w14:textId="77777777" w:rsidR="00343FB0" w:rsidRPr="00412E5A" w:rsidRDefault="00343FB0" w:rsidP="00343FB0">
      <w:pPr>
        <w:jc w:val="both"/>
        <w:rPr>
          <w:b/>
          <w:bCs/>
          <w:color w:val="auto"/>
        </w:rPr>
      </w:pPr>
      <w:r w:rsidRPr="00412E5A">
        <w:rPr>
          <w:b/>
          <w:bCs/>
          <w:color w:val="auto"/>
        </w:rPr>
        <w:t xml:space="preserve">XI.4.4.5 - Bando CEF </w:t>
      </w:r>
      <w:proofErr w:type="spellStart"/>
      <w:r w:rsidRPr="00412E5A">
        <w:rPr>
          <w:b/>
          <w:bCs/>
          <w:color w:val="auto"/>
        </w:rPr>
        <w:t>Blending</w:t>
      </w:r>
      <w:proofErr w:type="spellEnd"/>
      <w:r w:rsidRPr="00412E5A">
        <w:rPr>
          <w:b/>
          <w:bCs/>
          <w:color w:val="auto"/>
        </w:rPr>
        <w:t xml:space="preserve"> 2017 </w:t>
      </w:r>
    </w:p>
    <w:p w14:paraId="29E6F218" w14:textId="77777777" w:rsidR="00514CAB" w:rsidRPr="00412E5A" w:rsidRDefault="00514CAB" w:rsidP="00343FB0">
      <w:pPr>
        <w:jc w:val="both"/>
        <w:rPr>
          <w:b/>
          <w:bCs/>
          <w:color w:val="auto"/>
        </w:rPr>
      </w:pPr>
    </w:p>
    <w:p w14:paraId="1BE24170" w14:textId="77777777" w:rsidR="00343FB0" w:rsidRPr="008627B9" w:rsidRDefault="00343FB0" w:rsidP="00343FB0">
      <w:pPr>
        <w:ind w:firstLine="709"/>
        <w:jc w:val="both"/>
      </w:pPr>
      <w:r w:rsidRPr="008627B9">
        <w:t>Il bando CEF-</w:t>
      </w:r>
      <w:proofErr w:type="spellStart"/>
      <w:r w:rsidRPr="008627B9">
        <w:t>Transport</w:t>
      </w:r>
      <w:proofErr w:type="spellEnd"/>
      <w:r w:rsidRPr="008627B9">
        <w:t xml:space="preserve"> </w:t>
      </w:r>
      <w:proofErr w:type="spellStart"/>
      <w:r w:rsidRPr="008627B9">
        <w:t>Blending</w:t>
      </w:r>
      <w:proofErr w:type="spellEnd"/>
      <w:r w:rsidRPr="008627B9">
        <w:t xml:space="preserve"> 2017 è stato lanciato in data 8 febbraio 2017 quale prima esperienza innovativa finalizzata a creare un effetto leva sugli investimenti privati attraverso l’impiego dei fondi CEF. Esso prevede</w:t>
      </w:r>
      <w:r w:rsidR="0023756F">
        <w:t>va</w:t>
      </w:r>
      <w:r w:rsidRPr="008627B9">
        <w:t xml:space="preserve"> la combinazione di fondi, strumenti innovativi e </w:t>
      </w:r>
      <w:proofErr w:type="spellStart"/>
      <w:r w:rsidRPr="008627B9">
        <w:rPr>
          <w:i/>
          <w:iCs/>
        </w:rPr>
        <w:t>grant</w:t>
      </w:r>
      <w:proofErr w:type="spellEnd"/>
      <w:r w:rsidRPr="008627B9">
        <w:t>, con l’obiettivo di:</w:t>
      </w:r>
    </w:p>
    <w:p w14:paraId="51F51A70" w14:textId="77777777" w:rsidR="00343FB0" w:rsidRPr="00412E5A" w:rsidRDefault="00343FB0" w:rsidP="00F63DA4">
      <w:pPr>
        <w:pStyle w:val="Paragrafoelenco"/>
        <w:numPr>
          <w:ilvl w:val="0"/>
          <w:numId w:val="58"/>
        </w:numPr>
        <w:tabs>
          <w:tab w:val="left" w:pos="1134"/>
        </w:tabs>
        <w:ind w:left="284" w:hanging="284"/>
        <w:rPr>
          <w:color w:val="000000" w:themeColor="text1"/>
        </w:rPr>
      </w:pPr>
      <w:r w:rsidRPr="00412E5A">
        <w:rPr>
          <w:color w:val="000000" w:themeColor="text1"/>
        </w:rPr>
        <w:lastRenderedPageBreak/>
        <w:t xml:space="preserve">ampliare l’offerta finanziaria per i progetti inerenti </w:t>
      </w:r>
      <w:proofErr w:type="gramStart"/>
      <w:r w:rsidRPr="00412E5A">
        <w:rPr>
          <w:color w:val="000000" w:themeColor="text1"/>
        </w:rPr>
        <w:t>il</w:t>
      </w:r>
      <w:proofErr w:type="gramEnd"/>
      <w:r w:rsidRPr="00412E5A">
        <w:rPr>
          <w:color w:val="000000" w:themeColor="text1"/>
        </w:rPr>
        <w:t xml:space="preserve"> completamento delle TEN-T oltre ai classici strumenti di debito (CEF </w:t>
      </w:r>
      <w:proofErr w:type="spellStart"/>
      <w:r w:rsidRPr="00412E5A">
        <w:rPr>
          <w:i/>
          <w:iCs/>
          <w:color w:val="000000" w:themeColor="text1"/>
        </w:rPr>
        <w:t>Debt</w:t>
      </w:r>
      <w:proofErr w:type="spellEnd"/>
      <w:r w:rsidRPr="00412E5A">
        <w:rPr>
          <w:i/>
          <w:iCs/>
          <w:color w:val="000000" w:themeColor="text1"/>
        </w:rPr>
        <w:t xml:space="preserve"> </w:t>
      </w:r>
      <w:proofErr w:type="spellStart"/>
      <w:r w:rsidRPr="00412E5A">
        <w:rPr>
          <w:i/>
          <w:iCs/>
          <w:color w:val="000000" w:themeColor="text1"/>
        </w:rPr>
        <w:t>Instrument</w:t>
      </w:r>
      <w:proofErr w:type="spellEnd"/>
      <w:r w:rsidRPr="00412E5A">
        <w:rPr>
          <w:color w:val="000000" w:themeColor="text1"/>
        </w:rPr>
        <w:t xml:space="preserve">) e di </w:t>
      </w:r>
      <w:r w:rsidRPr="00412E5A">
        <w:rPr>
          <w:i/>
          <w:iCs/>
          <w:color w:val="000000" w:themeColor="text1"/>
        </w:rPr>
        <w:t>risk-sharing</w:t>
      </w:r>
      <w:r w:rsidRPr="00412E5A">
        <w:rPr>
          <w:color w:val="000000" w:themeColor="text1"/>
        </w:rPr>
        <w:t xml:space="preserve"> implementati fino ad oggi; </w:t>
      </w:r>
    </w:p>
    <w:p w14:paraId="43040FBB" w14:textId="77777777" w:rsidR="00343FB0" w:rsidRPr="00412E5A" w:rsidRDefault="00343FB0" w:rsidP="00F63DA4">
      <w:pPr>
        <w:pStyle w:val="Paragrafoelenco"/>
        <w:numPr>
          <w:ilvl w:val="0"/>
          <w:numId w:val="58"/>
        </w:numPr>
        <w:tabs>
          <w:tab w:val="left" w:pos="1134"/>
        </w:tabs>
        <w:ind w:left="284" w:hanging="284"/>
        <w:rPr>
          <w:color w:val="000000" w:themeColor="text1"/>
        </w:rPr>
      </w:pPr>
      <w:r w:rsidRPr="00412E5A">
        <w:rPr>
          <w:color w:val="000000" w:themeColor="text1"/>
        </w:rPr>
        <w:t xml:space="preserve">agevolare e velocizzare mediante parziale copertura finanziaria a fondo perduto le procedure di </w:t>
      </w:r>
      <w:r w:rsidRPr="00412E5A">
        <w:rPr>
          <w:i/>
          <w:iCs/>
          <w:color w:val="000000" w:themeColor="text1"/>
        </w:rPr>
        <w:t>closing</w:t>
      </w:r>
      <w:r w:rsidRPr="00412E5A">
        <w:rPr>
          <w:color w:val="000000" w:themeColor="text1"/>
        </w:rPr>
        <w:t xml:space="preserve"> finanziario nei progetti che coinvolgono investitori privati;</w:t>
      </w:r>
    </w:p>
    <w:p w14:paraId="0DDC58FF" w14:textId="77777777" w:rsidR="00343FB0" w:rsidRPr="00412E5A" w:rsidRDefault="00343FB0" w:rsidP="00F63DA4">
      <w:pPr>
        <w:pStyle w:val="Paragrafoelenco"/>
        <w:numPr>
          <w:ilvl w:val="0"/>
          <w:numId w:val="58"/>
        </w:numPr>
        <w:tabs>
          <w:tab w:val="left" w:pos="1134"/>
        </w:tabs>
        <w:ind w:left="284" w:hanging="284"/>
        <w:rPr>
          <w:color w:val="000000" w:themeColor="text1"/>
        </w:rPr>
      </w:pPr>
      <w:r w:rsidRPr="00412E5A">
        <w:rPr>
          <w:color w:val="000000" w:themeColor="text1"/>
        </w:rPr>
        <w:t>stimolare l’utilizzo del finanziamento a fondo perduto del programma CEF in progetti che coinvolgano la finanza privata ovvero finanziamenti da parte di NPB (</w:t>
      </w:r>
      <w:r w:rsidRPr="00412E5A">
        <w:rPr>
          <w:i/>
          <w:iCs/>
          <w:color w:val="000000" w:themeColor="text1"/>
        </w:rPr>
        <w:t xml:space="preserve">National </w:t>
      </w:r>
      <w:proofErr w:type="spellStart"/>
      <w:r w:rsidRPr="00412E5A">
        <w:rPr>
          <w:i/>
          <w:iCs/>
          <w:color w:val="000000" w:themeColor="text1"/>
        </w:rPr>
        <w:t>Promotional</w:t>
      </w:r>
      <w:proofErr w:type="spellEnd"/>
      <w:r w:rsidRPr="00412E5A">
        <w:rPr>
          <w:i/>
          <w:iCs/>
          <w:color w:val="000000" w:themeColor="text1"/>
        </w:rPr>
        <w:t xml:space="preserve"> Bank</w:t>
      </w:r>
      <w:r w:rsidRPr="00412E5A">
        <w:rPr>
          <w:color w:val="000000" w:themeColor="text1"/>
        </w:rPr>
        <w:t xml:space="preserve">) come Cassa Depositi e Prestiti o BEI (Banca Europea degli Investimenti); </w:t>
      </w:r>
    </w:p>
    <w:p w14:paraId="594EDCDE" w14:textId="77777777" w:rsidR="00343FB0" w:rsidRPr="00412E5A" w:rsidRDefault="00343FB0" w:rsidP="00F63DA4">
      <w:pPr>
        <w:pStyle w:val="Paragrafoelenco"/>
        <w:numPr>
          <w:ilvl w:val="0"/>
          <w:numId w:val="58"/>
        </w:numPr>
        <w:tabs>
          <w:tab w:val="left" w:pos="1134"/>
        </w:tabs>
        <w:ind w:left="284" w:hanging="284"/>
        <w:rPr>
          <w:color w:val="000000" w:themeColor="text1"/>
        </w:rPr>
      </w:pPr>
      <w:r w:rsidRPr="00412E5A">
        <w:rPr>
          <w:color w:val="000000" w:themeColor="text1"/>
        </w:rPr>
        <w:t xml:space="preserve">massimizzare l’uso del Fondo </w:t>
      </w:r>
      <w:r w:rsidR="009B592C" w:rsidRPr="00412E5A">
        <w:rPr>
          <w:color w:val="000000" w:themeColor="text1"/>
        </w:rPr>
        <w:t>E</w:t>
      </w:r>
      <w:r w:rsidRPr="00412E5A">
        <w:rPr>
          <w:color w:val="000000" w:themeColor="text1"/>
        </w:rPr>
        <w:t>uropeo per gli Investimenti Strategici (FEIS) come leva finanziaria per l’investimento privato.</w:t>
      </w:r>
    </w:p>
    <w:p w14:paraId="417C0D43" w14:textId="77777777" w:rsidR="00343FB0" w:rsidRPr="00412E5A" w:rsidRDefault="00343FB0" w:rsidP="00343FB0">
      <w:pPr>
        <w:jc w:val="both"/>
        <w:rPr>
          <w:color w:val="000000" w:themeColor="text1"/>
        </w:rPr>
      </w:pPr>
      <w:r w:rsidRPr="00412E5A">
        <w:rPr>
          <w:color w:val="000000" w:themeColor="text1"/>
        </w:rPr>
        <w:tab/>
        <w:t xml:space="preserve">La dotazione finanziaria è stata pari a 1,35 miliardi di euro sotto forma di </w:t>
      </w:r>
      <w:proofErr w:type="spellStart"/>
      <w:r w:rsidRPr="00412E5A">
        <w:rPr>
          <w:i/>
          <w:iCs/>
          <w:color w:val="000000" w:themeColor="text1"/>
        </w:rPr>
        <w:t>grant</w:t>
      </w:r>
      <w:proofErr w:type="spellEnd"/>
      <w:r w:rsidRPr="00412E5A">
        <w:rPr>
          <w:color w:val="000000" w:themeColor="text1"/>
        </w:rPr>
        <w:t xml:space="preserve"> (fondo perduto) per proposte progettuali concernenti unicamente lavori che prevedano il supporto preventivo e concordato da parte di una istituzione finanziaria</w:t>
      </w:r>
      <w:r w:rsidR="0023756F" w:rsidRPr="00412E5A">
        <w:rPr>
          <w:color w:val="000000" w:themeColor="text1"/>
        </w:rPr>
        <w:t>,</w:t>
      </w:r>
      <w:r w:rsidRPr="00412E5A">
        <w:rPr>
          <w:color w:val="000000" w:themeColor="text1"/>
        </w:rPr>
        <w:t xml:space="preserve"> quale ad esempio la BEI o altre tipologie di istituto di credito, come riportato nella </w:t>
      </w:r>
      <w:proofErr w:type="spellStart"/>
      <w:r w:rsidRPr="00412E5A">
        <w:rPr>
          <w:color w:val="000000" w:themeColor="text1"/>
        </w:rPr>
        <w:t>Tab</w:t>
      </w:r>
      <w:proofErr w:type="spellEnd"/>
      <w:r w:rsidRPr="00412E5A">
        <w:rPr>
          <w:color w:val="000000" w:themeColor="text1"/>
        </w:rPr>
        <w:t>. XI.4.4.5.1.</w:t>
      </w:r>
    </w:p>
    <w:p w14:paraId="4F158A4C" w14:textId="77777777" w:rsidR="006F6818" w:rsidRPr="00412E5A" w:rsidRDefault="00343FB0" w:rsidP="00343FB0">
      <w:pPr>
        <w:jc w:val="both"/>
        <w:rPr>
          <w:color w:val="000000" w:themeColor="text1"/>
        </w:rPr>
      </w:pPr>
      <w:r w:rsidRPr="00412E5A">
        <w:rPr>
          <w:color w:val="000000" w:themeColor="text1"/>
        </w:rPr>
        <w:tab/>
        <w:t xml:space="preserve">Data la peculiarità della </w:t>
      </w:r>
      <w:r w:rsidRPr="00412E5A">
        <w:rPr>
          <w:i/>
          <w:iCs/>
          <w:color w:val="000000" w:themeColor="text1"/>
        </w:rPr>
        <w:t>call</w:t>
      </w:r>
      <w:r w:rsidRPr="00412E5A">
        <w:rPr>
          <w:color w:val="000000" w:themeColor="text1"/>
        </w:rPr>
        <w:t>, sono state fissate 2 scadenze (</w:t>
      </w:r>
      <w:proofErr w:type="spellStart"/>
      <w:r w:rsidRPr="00412E5A">
        <w:rPr>
          <w:i/>
          <w:iCs/>
          <w:color w:val="000000" w:themeColor="text1"/>
        </w:rPr>
        <w:t>cut</w:t>
      </w:r>
      <w:proofErr w:type="spellEnd"/>
      <w:r w:rsidRPr="00412E5A">
        <w:rPr>
          <w:i/>
          <w:iCs/>
          <w:color w:val="000000" w:themeColor="text1"/>
        </w:rPr>
        <w:t>-off date</w:t>
      </w:r>
      <w:r w:rsidRPr="00412E5A">
        <w:rPr>
          <w:color w:val="000000" w:themeColor="text1"/>
        </w:rPr>
        <w:t xml:space="preserve">): la prima </w:t>
      </w:r>
      <w:r w:rsidR="00513E22" w:rsidRPr="00412E5A">
        <w:rPr>
          <w:color w:val="000000" w:themeColor="text1"/>
        </w:rPr>
        <w:t xml:space="preserve">fissata </w:t>
      </w:r>
      <w:r w:rsidR="0023756F" w:rsidRPr="00412E5A">
        <w:rPr>
          <w:color w:val="000000" w:themeColor="text1"/>
        </w:rPr>
        <w:t>al</w:t>
      </w:r>
      <w:r w:rsidRPr="00412E5A">
        <w:rPr>
          <w:color w:val="000000" w:themeColor="text1"/>
        </w:rPr>
        <w:t xml:space="preserve"> 14 luglio 2017 e la seconda </w:t>
      </w:r>
      <w:r w:rsidR="0023756F" w:rsidRPr="00412E5A">
        <w:rPr>
          <w:color w:val="000000" w:themeColor="text1"/>
        </w:rPr>
        <w:t>al</w:t>
      </w:r>
      <w:r w:rsidRPr="00412E5A">
        <w:rPr>
          <w:color w:val="000000" w:themeColor="text1"/>
        </w:rPr>
        <w:t xml:space="preserve"> 12 aprile 2018.</w:t>
      </w:r>
    </w:p>
    <w:p w14:paraId="08675FFA" w14:textId="77777777" w:rsidR="006F6818" w:rsidRPr="008627B9" w:rsidRDefault="006F6818" w:rsidP="00343FB0">
      <w:pPr>
        <w:jc w:val="both"/>
      </w:pPr>
    </w:p>
    <w:p w14:paraId="00D9AF8C" w14:textId="77777777" w:rsidR="00343FB0" w:rsidRDefault="00343FB0" w:rsidP="00343FB0">
      <w:pPr>
        <w:ind w:left="284" w:hanging="284"/>
        <w:rPr>
          <w:b/>
          <w:bCs/>
        </w:rPr>
      </w:pPr>
      <w:proofErr w:type="spellStart"/>
      <w:r w:rsidRPr="008627B9">
        <w:rPr>
          <w:b/>
          <w:bCs/>
        </w:rPr>
        <w:t>Tab</w:t>
      </w:r>
      <w:proofErr w:type="spellEnd"/>
      <w:r w:rsidRPr="008627B9">
        <w:rPr>
          <w:b/>
          <w:bCs/>
        </w:rPr>
        <w:t xml:space="preserve">. XI.4.4.5.1 - Dotazione finanziaria Bando CEF </w:t>
      </w:r>
      <w:proofErr w:type="spellStart"/>
      <w:r w:rsidRPr="008627B9">
        <w:rPr>
          <w:b/>
          <w:bCs/>
        </w:rPr>
        <w:t>Blending</w:t>
      </w:r>
      <w:proofErr w:type="spellEnd"/>
      <w:r w:rsidRPr="008627B9">
        <w:rPr>
          <w:b/>
          <w:bCs/>
        </w:rPr>
        <w:t xml:space="preserve"> 2017</w:t>
      </w:r>
    </w:p>
    <w:p w14:paraId="3A304A67" w14:textId="77777777" w:rsidR="00412E5A" w:rsidRPr="008627B9" w:rsidRDefault="00412E5A" w:rsidP="00343FB0">
      <w:pPr>
        <w:ind w:left="284" w:hanging="284"/>
        <w:rPr>
          <w:b/>
          <w:bCs/>
        </w:rPr>
      </w:pPr>
    </w:p>
    <w:tbl>
      <w:tblPr>
        <w:tblStyle w:val="TableNormal1"/>
        <w:tblW w:w="100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24"/>
        <w:gridCol w:w="3269"/>
      </w:tblGrid>
      <w:tr w:rsidR="00343FB0" w:rsidRPr="00C609A1" w14:paraId="1ED56708" w14:textId="77777777" w:rsidTr="00412E5A">
        <w:trPr>
          <w:trHeight w:val="223"/>
        </w:trPr>
        <w:tc>
          <w:tcPr>
            <w:tcW w:w="6824" w:type="dxa"/>
            <w:tcBorders>
              <w:top w:val="single" w:sz="4" w:space="0" w:color="auto"/>
              <w:left w:val="nil"/>
              <w:bottom w:val="single" w:sz="4" w:space="0" w:color="000000"/>
              <w:right w:val="nil"/>
            </w:tcBorders>
            <w:shd w:val="clear" w:color="auto" w:fill="auto"/>
            <w:tcMar>
              <w:top w:w="80" w:type="dxa"/>
              <w:left w:w="80" w:type="dxa"/>
              <w:bottom w:w="80" w:type="dxa"/>
              <w:right w:w="80" w:type="dxa"/>
            </w:tcMar>
          </w:tcPr>
          <w:p w14:paraId="69A32244" w14:textId="77777777" w:rsidR="00343FB0" w:rsidRPr="00F63DA4" w:rsidRDefault="00343FB0" w:rsidP="00343FB0">
            <w:pPr>
              <w:jc w:val="both"/>
              <w:rPr>
                <w:sz w:val="22"/>
                <w:szCs w:val="22"/>
              </w:rPr>
            </w:pPr>
            <w:r w:rsidRPr="00F63DA4">
              <w:rPr>
                <w:b/>
                <w:bCs/>
                <w:sz w:val="22"/>
                <w:szCs w:val="22"/>
              </w:rPr>
              <w:t>Bando</w:t>
            </w:r>
          </w:p>
        </w:tc>
        <w:tc>
          <w:tcPr>
            <w:tcW w:w="3269" w:type="dxa"/>
            <w:tcBorders>
              <w:top w:val="single" w:sz="4" w:space="0" w:color="auto"/>
              <w:left w:val="nil"/>
              <w:bottom w:val="single" w:sz="4" w:space="0" w:color="000000"/>
              <w:right w:val="nil"/>
            </w:tcBorders>
            <w:shd w:val="clear" w:color="auto" w:fill="auto"/>
            <w:tcMar>
              <w:top w:w="80" w:type="dxa"/>
              <w:left w:w="80" w:type="dxa"/>
              <w:bottom w:w="80" w:type="dxa"/>
              <w:right w:w="80" w:type="dxa"/>
            </w:tcMar>
          </w:tcPr>
          <w:p w14:paraId="32666FA2" w14:textId="77777777" w:rsidR="00343FB0" w:rsidRPr="00F63DA4" w:rsidRDefault="00343FB0" w:rsidP="00343FB0">
            <w:pPr>
              <w:jc w:val="both"/>
              <w:rPr>
                <w:sz w:val="22"/>
                <w:szCs w:val="22"/>
              </w:rPr>
            </w:pPr>
            <w:r w:rsidRPr="00F63DA4">
              <w:rPr>
                <w:b/>
                <w:bCs/>
                <w:sz w:val="22"/>
                <w:szCs w:val="22"/>
              </w:rPr>
              <w:t>Budget call (miliardi €)</w:t>
            </w:r>
          </w:p>
        </w:tc>
      </w:tr>
      <w:tr w:rsidR="00343FB0" w:rsidRPr="00C609A1" w14:paraId="2C3CD3CB" w14:textId="77777777" w:rsidTr="00412E5A">
        <w:trPr>
          <w:trHeight w:val="223"/>
        </w:trPr>
        <w:tc>
          <w:tcPr>
            <w:tcW w:w="6824" w:type="dxa"/>
            <w:tcBorders>
              <w:top w:val="single" w:sz="4" w:space="0" w:color="000000"/>
              <w:left w:val="nil"/>
              <w:bottom w:val="nil"/>
              <w:right w:val="nil"/>
            </w:tcBorders>
            <w:shd w:val="clear" w:color="auto" w:fill="auto"/>
            <w:tcMar>
              <w:top w:w="80" w:type="dxa"/>
              <w:left w:w="80" w:type="dxa"/>
              <w:bottom w:w="80" w:type="dxa"/>
              <w:right w:w="80" w:type="dxa"/>
            </w:tcMar>
          </w:tcPr>
          <w:p w14:paraId="7BDE54D3" w14:textId="77777777" w:rsidR="00343FB0" w:rsidRPr="00F63DA4" w:rsidRDefault="00343FB0" w:rsidP="00343FB0">
            <w:pPr>
              <w:jc w:val="both"/>
              <w:rPr>
                <w:sz w:val="22"/>
                <w:szCs w:val="22"/>
              </w:rPr>
            </w:pPr>
            <w:r w:rsidRPr="00F63DA4">
              <w:rPr>
                <w:sz w:val="22"/>
                <w:szCs w:val="22"/>
              </w:rPr>
              <w:t>Multi-Annuale (</w:t>
            </w:r>
            <w:r w:rsidR="0023756F" w:rsidRPr="00B340E0">
              <w:rPr>
                <w:i/>
                <w:sz w:val="22"/>
                <w:szCs w:val="22"/>
                <w:lang w:val="en-US"/>
              </w:rPr>
              <w:t>Funding Objective</w:t>
            </w:r>
            <w:r w:rsidR="0023756F" w:rsidRPr="00B340E0">
              <w:rPr>
                <w:sz w:val="22"/>
                <w:szCs w:val="22"/>
                <w:lang w:val="en-US"/>
              </w:rPr>
              <w:t xml:space="preserve"> </w:t>
            </w:r>
            <w:r w:rsidRPr="00F63DA4">
              <w:rPr>
                <w:sz w:val="22"/>
                <w:szCs w:val="22"/>
              </w:rPr>
              <w:t>1-2-3) - Prima scadenza (07/2017)</w:t>
            </w:r>
          </w:p>
        </w:tc>
        <w:tc>
          <w:tcPr>
            <w:tcW w:w="3269" w:type="dxa"/>
            <w:tcBorders>
              <w:top w:val="single" w:sz="4" w:space="0" w:color="000000"/>
              <w:left w:val="nil"/>
              <w:bottom w:val="nil"/>
              <w:right w:val="nil"/>
            </w:tcBorders>
            <w:shd w:val="clear" w:color="auto" w:fill="auto"/>
            <w:tcMar>
              <w:top w:w="80" w:type="dxa"/>
              <w:left w:w="80" w:type="dxa"/>
              <w:bottom w:w="80" w:type="dxa"/>
              <w:right w:w="80" w:type="dxa"/>
            </w:tcMar>
          </w:tcPr>
          <w:p w14:paraId="1B692854" w14:textId="77777777" w:rsidR="00343FB0" w:rsidRPr="00F63DA4" w:rsidRDefault="00343FB0" w:rsidP="00343FB0">
            <w:pPr>
              <w:jc w:val="center"/>
              <w:rPr>
                <w:sz w:val="22"/>
                <w:szCs w:val="22"/>
              </w:rPr>
            </w:pPr>
            <w:r w:rsidRPr="00F63DA4">
              <w:rPr>
                <w:sz w:val="22"/>
                <w:szCs w:val="22"/>
              </w:rPr>
              <w:t>1,00</w:t>
            </w:r>
          </w:p>
        </w:tc>
      </w:tr>
      <w:tr w:rsidR="00343FB0" w:rsidRPr="00C609A1" w14:paraId="02ED4A6E" w14:textId="77777777" w:rsidTr="00412E5A">
        <w:trPr>
          <w:trHeight w:val="223"/>
        </w:trPr>
        <w:tc>
          <w:tcPr>
            <w:tcW w:w="6824" w:type="dxa"/>
            <w:tcBorders>
              <w:top w:val="nil"/>
              <w:left w:val="nil"/>
              <w:bottom w:val="single" w:sz="4" w:space="0" w:color="000000"/>
              <w:right w:val="nil"/>
            </w:tcBorders>
            <w:shd w:val="clear" w:color="auto" w:fill="auto"/>
            <w:tcMar>
              <w:top w:w="80" w:type="dxa"/>
              <w:left w:w="80" w:type="dxa"/>
              <w:bottom w:w="80" w:type="dxa"/>
              <w:right w:w="80" w:type="dxa"/>
            </w:tcMar>
          </w:tcPr>
          <w:p w14:paraId="3495CBD8" w14:textId="77777777" w:rsidR="00343FB0" w:rsidRPr="00F63DA4" w:rsidRDefault="00343FB0" w:rsidP="00706961">
            <w:pPr>
              <w:jc w:val="both"/>
              <w:rPr>
                <w:sz w:val="22"/>
                <w:szCs w:val="22"/>
              </w:rPr>
            </w:pPr>
            <w:r w:rsidRPr="00F63DA4">
              <w:rPr>
                <w:sz w:val="22"/>
                <w:szCs w:val="22"/>
              </w:rPr>
              <w:t>Multi-Annuale (</w:t>
            </w:r>
            <w:r w:rsidR="0023756F" w:rsidRPr="00B340E0">
              <w:rPr>
                <w:i/>
                <w:sz w:val="22"/>
                <w:szCs w:val="22"/>
                <w:lang w:val="en-US"/>
              </w:rPr>
              <w:t>Funding Objective</w:t>
            </w:r>
            <w:r w:rsidR="0023756F" w:rsidRPr="00F63DA4">
              <w:rPr>
                <w:sz w:val="22"/>
                <w:szCs w:val="22"/>
              </w:rPr>
              <w:t xml:space="preserve"> </w:t>
            </w:r>
            <w:r w:rsidRPr="00F63DA4">
              <w:rPr>
                <w:sz w:val="22"/>
                <w:szCs w:val="22"/>
              </w:rPr>
              <w:t>1-2-3) - Seconda scadenza (04/2018)</w:t>
            </w:r>
          </w:p>
        </w:tc>
        <w:tc>
          <w:tcPr>
            <w:tcW w:w="3269" w:type="dxa"/>
            <w:tcBorders>
              <w:top w:val="nil"/>
              <w:left w:val="nil"/>
              <w:bottom w:val="single" w:sz="4" w:space="0" w:color="000000"/>
              <w:right w:val="nil"/>
            </w:tcBorders>
            <w:shd w:val="clear" w:color="auto" w:fill="auto"/>
            <w:tcMar>
              <w:top w:w="80" w:type="dxa"/>
              <w:left w:w="80" w:type="dxa"/>
              <w:bottom w:w="80" w:type="dxa"/>
              <w:right w:w="80" w:type="dxa"/>
            </w:tcMar>
          </w:tcPr>
          <w:p w14:paraId="71B9E0AD" w14:textId="77777777" w:rsidR="00343FB0" w:rsidRPr="00F63DA4" w:rsidRDefault="00343FB0" w:rsidP="00343FB0">
            <w:pPr>
              <w:jc w:val="center"/>
              <w:rPr>
                <w:sz w:val="22"/>
                <w:szCs w:val="22"/>
              </w:rPr>
            </w:pPr>
            <w:r w:rsidRPr="00F63DA4">
              <w:rPr>
                <w:sz w:val="22"/>
                <w:szCs w:val="22"/>
              </w:rPr>
              <w:t>0,35</w:t>
            </w:r>
          </w:p>
        </w:tc>
      </w:tr>
      <w:tr w:rsidR="00343FB0" w:rsidRPr="00C609A1" w14:paraId="734A04C2" w14:textId="77777777" w:rsidTr="00412E5A">
        <w:trPr>
          <w:trHeight w:val="227"/>
        </w:trPr>
        <w:tc>
          <w:tcPr>
            <w:tcW w:w="682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44D21EB" w14:textId="77777777" w:rsidR="00343FB0" w:rsidRPr="00F63DA4" w:rsidRDefault="00343FB0" w:rsidP="00343FB0">
            <w:pPr>
              <w:jc w:val="both"/>
              <w:rPr>
                <w:sz w:val="22"/>
                <w:szCs w:val="22"/>
              </w:rPr>
            </w:pPr>
            <w:r w:rsidRPr="00F63DA4">
              <w:rPr>
                <w:b/>
                <w:bCs/>
                <w:sz w:val="22"/>
                <w:szCs w:val="22"/>
              </w:rPr>
              <w:t>Totale</w:t>
            </w:r>
          </w:p>
        </w:tc>
        <w:tc>
          <w:tcPr>
            <w:tcW w:w="326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E1B2AE8" w14:textId="77777777" w:rsidR="00343FB0" w:rsidRPr="00F63DA4" w:rsidRDefault="00343FB0" w:rsidP="00343FB0">
            <w:pPr>
              <w:jc w:val="center"/>
              <w:rPr>
                <w:sz w:val="22"/>
                <w:szCs w:val="22"/>
              </w:rPr>
            </w:pPr>
            <w:r w:rsidRPr="00957CCC">
              <w:rPr>
                <w:b/>
                <w:bCs/>
                <w:sz w:val="22"/>
                <w:szCs w:val="22"/>
              </w:rPr>
              <w:t>1,35</w:t>
            </w:r>
          </w:p>
        </w:tc>
      </w:tr>
    </w:tbl>
    <w:p w14:paraId="79A577B1" w14:textId="77777777" w:rsidR="00343FB0" w:rsidRPr="008627B9" w:rsidRDefault="00343FB0" w:rsidP="00412E5A">
      <w:r w:rsidRPr="008627B9">
        <w:rPr>
          <w:i/>
          <w:iCs/>
          <w:sz w:val="20"/>
          <w:szCs w:val="20"/>
        </w:rPr>
        <w:t>Fonte</w:t>
      </w:r>
      <w:r w:rsidR="00412E5A">
        <w:rPr>
          <w:sz w:val="20"/>
          <w:szCs w:val="20"/>
        </w:rPr>
        <w:t>: Sito INEA.</w:t>
      </w:r>
    </w:p>
    <w:p w14:paraId="5BEDACD2" w14:textId="77777777" w:rsidR="00343FB0" w:rsidRPr="008627B9" w:rsidRDefault="00343FB0" w:rsidP="00412E5A">
      <w:pPr>
        <w:jc w:val="both"/>
      </w:pPr>
    </w:p>
    <w:p w14:paraId="480BE74E" w14:textId="77777777" w:rsidR="00343FB0" w:rsidRPr="008627B9" w:rsidRDefault="00343FB0" w:rsidP="00412E5A">
      <w:pPr>
        <w:ind w:firstLine="709"/>
        <w:jc w:val="both"/>
      </w:pPr>
      <w:r w:rsidRPr="008627B9">
        <w:rPr>
          <w:sz w:val="23"/>
          <w:szCs w:val="23"/>
        </w:rPr>
        <w:t xml:space="preserve">In occasione della prima scadenza del bando CEF </w:t>
      </w:r>
      <w:proofErr w:type="spellStart"/>
      <w:r w:rsidRPr="008627B9">
        <w:rPr>
          <w:i/>
          <w:iCs/>
          <w:sz w:val="23"/>
          <w:szCs w:val="23"/>
        </w:rPr>
        <w:t>Blending</w:t>
      </w:r>
      <w:proofErr w:type="spellEnd"/>
      <w:r w:rsidRPr="008627B9">
        <w:rPr>
          <w:sz w:val="23"/>
          <w:szCs w:val="23"/>
        </w:rPr>
        <w:t xml:space="preserve"> </w:t>
      </w:r>
      <w:r w:rsidRPr="008627B9">
        <w:t>sono state presentate</w:t>
      </w:r>
      <w:r w:rsidR="00CE7B15">
        <w:t xml:space="preserve"> dagli Stati membri</w:t>
      </w:r>
      <w:r w:rsidRPr="008627B9">
        <w:t xml:space="preserve"> ben 65 proposte di azioni eleggibili che, complessivamente, hanno richiesto fondi pari a 2,1 volte il budget messo a disposizione dalla call (2,1 miliardi di euro a fronte di una disponibilità di 1 miliardo di euro).</w:t>
      </w:r>
    </w:p>
    <w:p w14:paraId="0BB56E36" w14:textId="77777777" w:rsidR="00343FB0" w:rsidRPr="00412E5A" w:rsidRDefault="00343FB0" w:rsidP="00412E5A">
      <w:pPr>
        <w:ind w:firstLine="708"/>
        <w:jc w:val="both"/>
        <w:rPr>
          <w:color w:val="000000" w:themeColor="text1"/>
        </w:rPr>
      </w:pPr>
      <w:r w:rsidRPr="008627B9">
        <w:t xml:space="preserve">La Commissione, valutate le proposte, ha selezionato 39 proposte di azioni che hanno complessivamente richiesto fondi per 1,02 miliardi di euro. Tra le azioni finanziate ne risultano 6 in cui sono inseriti beneficiari italiani (e tre </w:t>
      </w:r>
      <w:r w:rsidR="00CE7B15">
        <w:t xml:space="preserve">caratterizzate </w:t>
      </w:r>
      <w:r w:rsidR="00CE7B15" w:rsidRPr="00412E5A">
        <w:rPr>
          <w:color w:val="000000" w:themeColor="text1"/>
        </w:rPr>
        <w:t>da</w:t>
      </w:r>
      <w:r w:rsidRPr="00412E5A">
        <w:rPr>
          <w:color w:val="000000" w:themeColor="text1"/>
        </w:rPr>
        <w:t xml:space="preserve"> </w:t>
      </w:r>
      <w:r w:rsidR="00FB4B03" w:rsidRPr="00412E5A">
        <w:rPr>
          <w:iCs/>
          <w:color w:val="000000" w:themeColor="text1"/>
        </w:rPr>
        <w:t>Partenariati</w:t>
      </w:r>
      <w:r w:rsidR="00FB4B03" w:rsidRPr="00412E5A">
        <w:rPr>
          <w:color w:val="000000" w:themeColor="text1"/>
        </w:rPr>
        <w:t xml:space="preserve"> </w:t>
      </w:r>
      <w:r w:rsidRPr="00412E5A">
        <w:rPr>
          <w:color w:val="000000" w:themeColor="text1"/>
        </w:rPr>
        <w:t>esclusivamente italian</w:t>
      </w:r>
      <w:r w:rsidR="00CE7B15" w:rsidRPr="00412E5A">
        <w:rPr>
          <w:color w:val="000000" w:themeColor="text1"/>
        </w:rPr>
        <w:t>i</w:t>
      </w:r>
      <w:r w:rsidRPr="00412E5A">
        <w:rPr>
          <w:color w:val="000000" w:themeColor="text1"/>
        </w:rPr>
        <w:t>) per un contributo complessivo previsto di circa 80 milioni di euro.</w:t>
      </w:r>
    </w:p>
    <w:p w14:paraId="4A51BD0C" w14:textId="77777777" w:rsidR="00343FB0" w:rsidRDefault="00343FB0" w:rsidP="00412E5A">
      <w:pPr>
        <w:ind w:firstLine="709"/>
        <w:jc w:val="both"/>
      </w:pPr>
      <w:r w:rsidRPr="00412E5A">
        <w:rPr>
          <w:color w:val="000000" w:themeColor="text1"/>
        </w:rPr>
        <w:t>Nella seconda scadenza sono state presentate</w:t>
      </w:r>
      <w:r w:rsidR="00CE7B15" w:rsidRPr="00412E5A">
        <w:rPr>
          <w:color w:val="000000" w:themeColor="text1"/>
        </w:rPr>
        <w:t xml:space="preserve"> dagli Stati membri</w:t>
      </w:r>
      <w:r w:rsidRPr="00412E5A">
        <w:rPr>
          <w:color w:val="000000" w:themeColor="text1"/>
        </w:rPr>
        <w:t xml:space="preserve"> 68 proposte per una richiesta di fondi di oltre 1 miliardo di euro a fronte di una disponibilità ben più limitata di soli 350 milioni di euro. Delle 68 proposte ritenute eleggibili la Commissione ha deciso di finanziarne 35, per un importo pari a 404,8 milioni di euro</w:t>
      </w:r>
      <w:r w:rsidRPr="00412E5A">
        <w:rPr>
          <w:color w:val="000000" w:themeColor="text1"/>
          <w:vertAlign w:val="superscript"/>
        </w:rPr>
        <w:footnoteReference w:id="7"/>
      </w:r>
      <w:r w:rsidRPr="00412E5A">
        <w:rPr>
          <w:color w:val="000000" w:themeColor="text1"/>
        </w:rPr>
        <w:t xml:space="preserve"> tra cui 5 con </w:t>
      </w:r>
      <w:r w:rsidR="00FD4EF3" w:rsidRPr="00412E5A">
        <w:rPr>
          <w:color w:val="000000" w:themeColor="text1"/>
        </w:rPr>
        <w:t xml:space="preserve">Partenariato </w:t>
      </w:r>
      <w:r w:rsidRPr="00412E5A">
        <w:rPr>
          <w:color w:val="000000" w:themeColor="text1"/>
        </w:rPr>
        <w:t xml:space="preserve">esclusivamente italiano </w:t>
      </w:r>
      <w:r w:rsidRPr="008627B9">
        <w:t xml:space="preserve">per un contributo complessivo previsto di circa 37,3 milioni di euro ed 1 intervento per circa 13 milioni di euro sviluppata da Slovenia e Slovacchia per la creazione di una rete di stazioni di ricarica </w:t>
      </w:r>
      <w:r w:rsidR="00B76C6E">
        <w:t>GNL</w:t>
      </w:r>
      <w:r w:rsidRPr="008627B9">
        <w:t>/</w:t>
      </w:r>
      <w:r w:rsidR="00B76C6E">
        <w:t>GNC</w:t>
      </w:r>
      <w:r w:rsidRPr="008627B9">
        <w:t xml:space="preserve"> sul territorio italiano. Nella </w:t>
      </w:r>
      <w:proofErr w:type="spellStart"/>
      <w:r w:rsidRPr="008627B9">
        <w:t>Tab</w:t>
      </w:r>
      <w:proofErr w:type="spellEnd"/>
      <w:r w:rsidRPr="008627B9">
        <w:t>. XI.4.4.5.2 sono schematicamente riportate tali informazioni.</w:t>
      </w:r>
    </w:p>
    <w:p w14:paraId="3CCE4E60" w14:textId="77777777" w:rsidR="00D917AE" w:rsidRPr="008627B9" w:rsidRDefault="00D917AE" w:rsidP="00412E5A">
      <w:pPr>
        <w:ind w:firstLine="709"/>
        <w:jc w:val="both"/>
      </w:pPr>
    </w:p>
    <w:p w14:paraId="51A18A9F" w14:textId="77777777" w:rsidR="00343FB0" w:rsidRDefault="00343FB0" w:rsidP="00412E5A">
      <w:pPr>
        <w:ind w:left="284" w:hanging="284"/>
        <w:rPr>
          <w:b/>
          <w:bCs/>
        </w:rPr>
      </w:pPr>
      <w:proofErr w:type="spellStart"/>
      <w:r w:rsidRPr="008627B9">
        <w:rPr>
          <w:b/>
          <w:bCs/>
        </w:rPr>
        <w:t>Tab</w:t>
      </w:r>
      <w:proofErr w:type="spellEnd"/>
      <w:r w:rsidRPr="008627B9">
        <w:rPr>
          <w:b/>
          <w:bCs/>
        </w:rPr>
        <w:t xml:space="preserve">. XI.4.4.5.2 - Sintesi Bando CEF </w:t>
      </w:r>
      <w:proofErr w:type="spellStart"/>
      <w:r w:rsidRPr="008627B9">
        <w:rPr>
          <w:b/>
          <w:bCs/>
        </w:rPr>
        <w:t>Blending</w:t>
      </w:r>
      <w:proofErr w:type="spellEnd"/>
      <w:r w:rsidRPr="008627B9">
        <w:rPr>
          <w:b/>
          <w:bCs/>
        </w:rPr>
        <w:t xml:space="preserve"> 2017</w:t>
      </w:r>
    </w:p>
    <w:p w14:paraId="3D4FD61F" w14:textId="77777777" w:rsidR="00412E5A" w:rsidRPr="008627B9" w:rsidRDefault="00412E5A" w:rsidP="00412E5A">
      <w:pPr>
        <w:ind w:left="284" w:hanging="284"/>
        <w:rPr>
          <w:b/>
          <w:bCs/>
        </w:rPr>
      </w:pPr>
    </w:p>
    <w:tbl>
      <w:tblPr>
        <w:tblStyle w:val="TableNormal1"/>
        <w:tblW w:w="1014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04"/>
        <w:gridCol w:w="2062"/>
        <w:gridCol w:w="2026"/>
        <w:gridCol w:w="3857"/>
      </w:tblGrid>
      <w:tr w:rsidR="00343FB0" w:rsidRPr="00C609A1" w14:paraId="0C20FB70" w14:textId="77777777" w:rsidTr="00412E5A">
        <w:trPr>
          <w:trHeight w:val="15"/>
        </w:trPr>
        <w:tc>
          <w:tcPr>
            <w:tcW w:w="2204"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AD62D5E" w14:textId="77777777" w:rsidR="00343FB0" w:rsidRPr="00F63DA4" w:rsidRDefault="00343FB0" w:rsidP="00343FB0">
            <w:pPr>
              <w:rPr>
                <w:sz w:val="22"/>
                <w:szCs w:val="22"/>
              </w:rPr>
            </w:pPr>
          </w:p>
        </w:tc>
        <w:tc>
          <w:tcPr>
            <w:tcW w:w="206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5973B47" w14:textId="77777777" w:rsidR="00343FB0" w:rsidRPr="00F63DA4" w:rsidRDefault="00343FB0" w:rsidP="00343FB0">
            <w:pPr>
              <w:jc w:val="both"/>
              <w:rPr>
                <w:sz w:val="22"/>
                <w:szCs w:val="22"/>
              </w:rPr>
            </w:pPr>
            <w:r w:rsidRPr="00F63DA4">
              <w:rPr>
                <w:b/>
                <w:bCs/>
                <w:sz w:val="22"/>
                <w:szCs w:val="22"/>
              </w:rPr>
              <w:t>Domande ricevute</w:t>
            </w:r>
          </w:p>
        </w:tc>
        <w:tc>
          <w:tcPr>
            <w:tcW w:w="2026"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5C9DB3F" w14:textId="77777777" w:rsidR="00343FB0" w:rsidRPr="00F63DA4" w:rsidRDefault="00343FB0" w:rsidP="00343FB0">
            <w:pPr>
              <w:jc w:val="both"/>
              <w:rPr>
                <w:sz w:val="22"/>
                <w:szCs w:val="22"/>
              </w:rPr>
            </w:pPr>
            <w:r w:rsidRPr="00F63DA4">
              <w:rPr>
                <w:b/>
                <w:bCs/>
                <w:sz w:val="22"/>
                <w:szCs w:val="22"/>
              </w:rPr>
              <w:t>Azioni finanziate</w:t>
            </w:r>
          </w:p>
        </w:tc>
        <w:tc>
          <w:tcPr>
            <w:tcW w:w="385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BECF287" w14:textId="77777777" w:rsidR="00343FB0" w:rsidRPr="00F63DA4" w:rsidRDefault="00343FB0" w:rsidP="00343FB0">
            <w:pPr>
              <w:jc w:val="center"/>
              <w:rPr>
                <w:sz w:val="22"/>
                <w:szCs w:val="22"/>
              </w:rPr>
            </w:pPr>
            <w:r w:rsidRPr="00F63DA4">
              <w:rPr>
                <w:b/>
                <w:bCs/>
                <w:sz w:val="22"/>
                <w:szCs w:val="22"/>
              </w:rPr>
              <w:t>Supporto CEF (miliardi €)</w:t>
            </w:r>
          </w:p>
        </w:tc>
      </w:tr>
      <w:tr w:rsidR="00343FB0" w:rsidRPr="00C609A1" w14:paraId="70579E59" w14:textId="77777777" w:rsidTr="00412E5A">
        <w:trPr>
          <w:trHeight w:hRule="exact" w:val="297"/>
        </w:trPr>
        <w:tc>
          <w:tcPr>
            <w:tcW w:w="2204" w:type="dxa"/>
            <w:tcBorders>
              <w:top w:val="single" w:sz="4" w:space="0" w:color="000000"/>
              <w:left w:val="nil"/>
              <w:bottom w:val="nil"/>
              <w:right w:val="nil"/>
            </w:tcBorders>
            <w:shd w:val="clear" w:color="auto" w:fill="auto"/>
            <w:tcMar>
              <w:top w:w="80" w:type="dxa"/>
              <w:left w:w="80" w:type="dxa"/>
              <w:bottom w:w="80" w:type="dxa"/>
              <w:right w:w="80" w:type="dxa"/>
            </w:tcMar>
          </w:tcPr>
          <w:p w14:paraId="685ABBB8" w14:textId="77777777" w:rsidR="00343FB0" w:rsidRPr="00F63DA4" w:rsidRDefault="00343FB0" w:rsidP="00343FB0">
            <w:pPr>
              <w:rPr>
                <w:b/>
                <w:sz w:val="22"/>
                <w:szCs w:val="22"/>
              </w:rPr>
            </w:pPr>
            <w:r w:rsidRPr="00F63DA4">
              <w:rPr>
                <w:b/>
                <w:sz w:val="22"/>
                <w:szCs w:val="22"/>
              </w:rPr>
              <w:t>Totali 1</w:t>
            </w:r>
            <w:r w:rsidRPr="00F63DA4">
              <w:rPr>
                <w:b/>
                <w:sz w:val="22"/>
                <w:szCs w:val="22"/>
                <w:vertAlign w:val="superscript"/>
              </w:rPr>
              <w:t xml:space="preserve">st </w:t>
            </w:r>
            <w:proofErr w:type="spellStart"/>
            <w:r w:rsidRPr="00F63DA4">
              <w:rPr>
                <w:b/>
                <w:sz w:val="22"/>
                <w:szCs w:val="22"/>
              </w:rPr>
              <w:t>cut</w:t>
            </w:r>
            <w:proofErr w:type="spellEnd"/>
            <w:r w:rsidRPr="00F63DA4">
              <w:rPr>
                <w:b/>
                <w:sz w:val="22"/>
                <w:szCs w:val="22"/>
              </w:rPr>
              <w:t xml:space="preserve"> off </w:t>
            </w:r>
          </w:p>
        </w:tc>
        <w:tc>
          <w:tcPr>
            <w:tcW w:w="2062" w:type="dxa"/>
            <w:tcBorders>
              <w:top w:val="single" w:sz="4" w:space="0" w:color="000000"/>
              <w:left w:val="nil"/>
              <w:bottom w:val="nil"/>
              <w:right w:val="nil"/>
            </w:tcBorders>
            <w:shd w:val="clear" w:color="auto" w:fill="auto"/>
            <w:tcMar>
              <w:top w:w="80" w:type="dxa"/>
              <w:left w:w="80" w:type="dxa"/>
              <w:bottom w:w="80" w:type="dxa"/>
              <w:right w:w="80" w:type="dxa"/>
            </w:tcMar>
          </w:tcPr>
          <w:p w14:paraId="7BE07F58" w14:textId="77777777" w:rsidR="00343FB0" w:rsidRPr="00F63DA4" w:rsidRDefault="00343FB0" w:rsidP="00343FB0">
            <w:pPr>
              <w:jc w:val="center"/>
              <w:rPr>
                <w:b/>
                <w:sz w:val="22"/>
                <w:szCs w:val="22"/>
              </w:rPr>
            </w:pPr>
            <w:r w:rsidRPr="00F63DA4">
              <w:rPr>
                <w:b/>
                <w:iCs/>
                <w:sz w:val="22"/>
                <w:szCs w:val="22"/>
              </w:rPr>
              <w:t>65</w:t>
            </w:r>
          </w:p>
        </w:tc>
        <w:tc>
          <w:tcPr>
            <w:tcW w:w="2026" w:type="dxa"/>
            <w:tcBorders>
              <w:top w:val="single" w:sz="4" w:space="0" w:color="000000"/>
              <w:left w:val="nil"/>
              <w:bottom w:val="nil"/>
              <w:right w:val="nil"/>
            </w:tcBorders>
            <w:shd w:val="clear" w:color="auto" w:fill="auto"/>
            <w:tcMar>
              <w:top w:w="80" w:type="dxa"/>
              <w:left w:w="80" w:type="dxa"/>
              <w:bottom w:w="80" w:type="dxa"/>
              <w:right w:w="80" w:type="dxa"/>
            </w:tcMar>
          </w:tcPr>
          <w:p w14:paraId="6E825CAF" w14:textId="77777777" w:rsidR="00343FB0" w:rsidRPr="00F63DA4" w:rsidRDefault="00343FB0" w:rsidP="00343FB0">
            <w:pPr>
              <w:jc w:val="center"/>
              <w:rPr>
                <w:b/>
                <w:sz w:val="22"/>
                <w:szCs w:val="22"/>
              </w:rPr>
            </w:pPr>
            <w:r w:rsidRPr="00F63DA4">
              <w:rPr>
                <w:b/>
                <w:sz w:val="22"/>
                <w:szCs w:val="22"/>
              </w:rPr>
              <w:t>39</w:t>
            </w:r>
          </w:p>
        </w:tc>
        <w:tc>
          <w:tcPr>
            <w:tcW w:w="3857" w:type="dxa"/>
            <w:tcBorders>
              <w:top w:val="single" w:sz="4" w:space="0" w:color="000000"/>
              <w:left w:val="nil"/>
              <w:bottom w:val="nil"/>
              <w:right w:val="nil"/>
            </w:tcBorders>
            <w:shd w:val="clear" w:color="auto" w:fill="auto"/>
            <w:tcMar>
              <w:top w:w="80" w:type="dxa"/>
              <w:left w:w="80" w:type="dxa"/>
              <w:bottom w:w="80" w:type="dxa"/>
              <w:right w:w="80" w:type="dxa"/>
            </w:tcMar>
          </w:tcPr>
          <w:p w14:paraId="1A2AA062" w14:textId="77777777" w:rsidR="00343FB0" w:rsidRPr="00F63DA4" w:rsidRDefault="00343FB0" w:rsidP="00343FB0">
            <w:pPr>
              <w:jc w:val="center"/>
              <w:rPr>
                <w:b/>
                <w:sz w:val="22"/>
                <w:szCs w:val="22"/>
              </w:rPr>
            </w:pPr>
            <w:r w:rsidRPr="00F63DA4">
              <w:rPr>
                <w:b/>
                <w:sz w:val="22"/>
                <w:szCs w:val="22"/>
              </w:rPr>
              <w:t>1,02</w:t>
            </w:r>
          </w:p>
        </w:tc>
      </w:tr>
      <w:tr w:rsidR="00343FB0" w:rsidRPr="00C609A1" w14:paraId="34812AC3" w14:textId="77777777" w:rsidTr="00412E5A">
        <w:trPr>
          <w:trHeight w:hRule="exact" w:val="287"/>
        </w:trPr>
        <w:tc>
          <w:tcPr>
            <w:tcW w:w="2204" w:type="dxa"/>
            <w:tcBorders>
              <w:top w:val="nil"/>
              <w:left w:val="nil"/>
              <w:bottom w:val="nil"/>
              <w:right w:val="nil"/>
            </w:tcBorders>
            <w:shd w:val="clear" w:color="auto" w:fill="auto"/>
            <w:tcMar>
              <w:top w:w="80" w:type="dxa"/>
              <w:left w:w="80" w:type="dxa"/>
              <w:bottom w:w="80" w:type="dxa"/>
              <w:right w:w="80" w:type="dxa"/>
            </w:tcMar>
          </w:tcPr>
          <w:p w14:paraId="6C62B8DC" w14:textId="77777777" w:rsidR="00343FB0" w:rsidRPr="00F63DA4" w:rsidRDefault="00343FB0" w:rsidP="00343FB0">
            <w:pPr>
              <w:rPr>
                <w:sz w:val="22"/>
                <w:szCs w:val="22"/>
              </w:rPr>
            </w:pPr>
            <w:r w:rsidRPr="00F63DA4">
              <w:rPr>
                <w:i/>
                <w:iCs/>
                <w:sz w:val="22"/>
                <w:szCs w:val="22"/>
              </w:rPr>
              <w:t>di cui ITA</w:t>
            </w:r>
          </w:p>
        </w:tc>
        <w:tc>
          <w:tcPr>
            <w:tcW w:w="2062" w:type="dxa"/>
            <w:tcBorders>
              <w:top w:val="nil"/>
              <w:left w:val="nil"/>
              <w:bottom w:val="nil"/>
              <w:right w:val="nil"/>
            </w:tcBorders>
            <w:shd w:val="clear" w:color="auto" w:fill="auto"/>
            <w:tcMar>
              <w:top w:w="80" w:type="dxa"/>
              <w:left w:w="80" w:type="dxa"/>
              <w:bottom w:w="80" w:type="dxa"/>
              <w:right w:w="80" w:type="dxa"/>
            </w:tcMar>
          </w:tcPr>
          <w:p w14:paraId="225ACBEE" w14:textId="77777777" w:rsidR="00343FB0" w:rsidRPr="00F63DA4" w:rsidRDefault="00343FB0" w:rsidP="00343FB0">
            <w:pPr>
              <w:jc w:val="center"/>
              <w:rPr>
                <w:sz w:val="22"/>
                <w:szCs w:val="22"/>
              </w:rPr>
            </w:pPr>
            <w:r w:rsidRPr="00F63DA4">
              <w:rPr>
                <w:i/>
                <w:iCs/>
                <w:sz w:val="22"/>
                <w:szCs w:val="22"/>
              </w:rPr>
              <w:t>7</w:t>
            </w:r>
          </w:p>
        </w:tc>
        <w:tc>
          <w:tcPr>
            <w:tcW w:w="2026" w:type="dxa"/>
            <w:tcBorders>
              <w:top w:val="nil"/>
              <w:left w:val="nil"/>
              <w:bottom w:val="nil"/>
              <w:right w:val="nil"/>
            </w:tcBorders>
            <w:shd w:val="clear" w:color="auto" w:fill="auto"/>
            <w:tcMar>
              <w:top w:w="80" w:type="dxa"/>
              <w:left w:w="80" w:type="dxa"/>
              <w:bottom w:w="80" w:type="dxa"/>
              <w:right w:w="80" w:type="dxa"/>
            </w:tcMar>
          </w:tcPr>
          <w:p w14:paraId="104E349E" w14:textId="77777777" w:rsidR="00343FB0" w:rsidRPr="00F63DA4" w:rsidRDefault="00343FB0" w:rsidP="00343FB0">
            <w:pPr>
              <w:jc w:val="center"/>
              <w:rPr>
                <w:sz w:val="22"/>
                <w:szCs w:val="22"/>
              </w:rPr>
            </w:pPr>
            <w:r w:rsidRPr="00F63DA4">
              <w:rPr>
                <w:i/>
                <w:iCs/>
                <w:sz w:val="22"/>
                <w:szCs w:val="22"/>
              </w:rPr>
              <w:t>6</w:t>
            </w:r>
          </w:p>
        </w:tc>
        <w:tc>
          <w:tcPr>
            <w:tcW w:w="3857" w:type="dxa"/>
            <w:tcBorders>
              <w:top w:val="nil"/>
              <w:left w:val="nil"/>
              <w:bottom w:val="nil"/>
              <w:right w:val="nil"/>
            </w:tcBorders>
            <w:shd w:val="clear" w:color="auto" w:fill="auto"/>
            <w:tcMar>
              <w:top w:w="80" w:type="dxa"/>
              <w:left w:w="80" w:type="dxa"/>
              <w:bottom w:w="80" w:type="dxa"/>
              <w:right w:w="80" w:type="dxa"/>
            </w:tcMar>
          </w:tcPr>
          <w:p w14:paraId="23454BFF" w14:textId="77777777" w:rsidR="00343FB0" w:rsidRPr="00F63DA4" w:rsidRDefault="00343FB0" w:rsidP="00343FB0">
            <w:pPr>
              <w:jc w:val="center"/>
              <w:rPr>
                <w:i/>
                <w:sz w:val="22"/>
                <w:szCs w:val="22"/>
              </w:rPr>
            </w:pPr>
            <w:r w:rsidRPr="00F63DA4">
              <w:rPr>
                <w:i/>
                <w:sz w:val="22"/>
                <w:szCs w:val="22"/>
              </w:rPr>
              <w:t>0,06</w:t>
            </w:r>
          </w:p>
        </w:tc>
      </w:tr>
      <w:tr w:rsidR="00343FB0" w:rsidRPr="00C609A1" w14:paraId="5AA010CB" w14:textId="77777777" w:rsidTr="00412E5A">
        <w:trPr>
          <w:trHeight w:hRule="exact" w:val="287"/>
        </w:trPr>
        <w:tc>
          <w:tcPr>
            <w:tcW w:w="2204" w:type="dxa"/>
            <w:tcBorders>
              <w:top w:val="nil"/>
              <w:left w:val="nil"/>
              <w:bottom w:val="nil"/>
              <w:right w:val="nil"/>
            </w:tcBorders>
            <w:shd w:val="clear" w:color="auto" w:fill="auto"/>
            <w:tcMar>
              <w:top w:w="80" w:type="dxa"/>
              <w:left w:w="80" w:type="dxa"/>
              <w:bottom w:w="80" w:type="dxa"/>
              <w:right w:w="80" w:type="dxa"/>
            </w:tcMar>
          </w:tcPr>
          <w:p w14:paraId="5A524C5C" w14:textId="77777777" w:rsidR="00343FB0" w:rsidRPr="00F63DA4" w:rsidRDefault="00343FB0" w:rsidP="00343FB0">
            <w:pPr>
              <w:rPr>
                <w:b/>
                <w:sz w:val="22"/>
                <w:szCs w:val="22"/>
              </w:rPr>
            </w:pPr>
            <w:r w:rsidRPr="00F63DA4">
              <w:rPr>
                <w:b/>
                <w:sz w:val="22"/>
                <w:szCs w:val="22"/>
              </w:rPr>
              <w:t>Totali 2</w:t>
            </w:r>
            <w:r w:rsidRPr="00F63DA4">
              <w:rPr>
                <w:b/>
                <w:sz w:val="22"/>
                <w:szCs w:val="22"/>
                <w:vertAlign w:val="superscript"/>
              </w:rPr>
              <w:t>nd</w:t>
            </w:r>
            <w:r w:rsidRPr="00F63DA4">
              <w:rPr>
                <w:b/>
                <w:sz w:val="22"/>
                <w:szCs w:val="22"/>
              </w:rPr>
              <w:t xml:space="preserve"> </w:t>
            </w:r>
            <w:proofErr w:type="spellStart"/>
            <w:r w:rsidRPr="00F63DA4">
              <w:rPr>
                <w:b/>
                <w:sz w:val="22"/>
                <w:szCs w:val="22"/>
              </w:rPr>
              <w:t>cut</w:t>
            </w:r>
            <w:proofErr w:type="spellEnd"/>
            <w:r w:rsidRPr="00F63DA4">
              <w:rPr>
                <w:b/>
                <w:sz w:val="22"/>
                <w:szCs w:val="22"/>
              </w:rPr>
              <w:t xml:space="preserve"> off</w:t>
            </w:r>
          </w:p>
        </w:tc>
        <w:tc>
          <w:tcPr>
            <w:tcW w:w="2062" w:type="dxa"/>
            <w:tcBorders>
              <w:top w:val="nil"/>
              <w:left w:val="nil"/>
              <w:bottom w:val="nil"/>
              <w:right w:val="nil"/>
            </w:tcBorders>
            <w:shd w:val="clear" w:color="auto" w:fill="auto"/>
            <w:tcMar>
              <w:top w:w="80" w:type="dxa"/>
              <w:left w:w="80" w:type="dxa"/>
              <w:bottom w:w="80" w:type="dxa"/>
              <w:right w:w="80" w:type="dxa"/>
            </w:tcMar>
          </w:tcPr>
          <w:p w14:paraId="2248573D" w14:textId="77777777" w:rsidR="00343FB0" w:rsidRPr="00F63DA4" w:rsidRDefault="00343FB0" w:rsidP="00343FB0">
            <w:pPr>
              <w:jc w:val="center"/>
              <w:rPr>
                <w:b/>
                <w:sz w:val="22"/>
                <w:szCs w:val="22"/>
              </w:rPr>
            </w:pPr>
            <w:r w:rsidRPr="00F63DA4">
              <w:rPr>
                <w:b/>
                <w:sz w:val="22"/>
                <w:szCs w:val="22"/>
              </w:rPr>
              <w:t>68</w:t>
            </w:r>
          </w:p>
        </w:tc>
        <w:tc>
          <w:tcPr>
            <w:tcW w:w="2026" w:type="dxa"/>
            <w:tcBorders>
              <w:top w:val="nil"/>
              <w:left w:val="nil"/>
              <w:bottom w:val="nil"/>
              <w:right w:val="nil"/>
            </w:tcBorders>
            <w:shd w:val="clear" w:color="auto" w:fill="auto"/>
            <w:tcMar>
              <w:top w:w="80" w:type="dxa"/>
              <w:left w:w="80" w:type="dxa"/>
              <w:bottom w:w="80" w:type="dxa"/>
              <w:right w:w="80" w:type="dxa"/>
            </w:tcMar>
          </w:tcPr>
          <w:p w14:paraId="4C4795A1" w14:textId="77777777" w:rsidR="00343FB0" w:rsidRPr="00F63DA4" w:rsidRDefault="00343FB0" w:rsidP="00343FB0">
            <w:pPr>
              <w:jc w:val="center"/>
              <w:rPr>
                <w:b/>
                <w:sz w:val="22"/>
                <w:szCs w:val="22"/>
              </w:rPr>
            </w:pPr>
            <w:r w:rsidRPr="00F63DA4">
              <w:rPr>
                <w:b/>
                <w:sz w:val="22"/>
                <w:szCs w:val="22"/>
              </w:rPr>
              <w:t>35</w:t>
            </w:r>
          </w:p>
        </w:tc>
        <w:tc>
          <w:tcPr>
            <w:tcW w:w="3857" w:type="dxa"/>
            <w:tcBorders>
              <w:top w:val="nil"/>
              <w:left w:val="nil"/>
              <w:bottom w:val="nil"/>
              <w:right w:val="nil"/>
            </w:tcBorders>
            <w:shd w:val="clear" w:color="auto" w:fill="auto"/>
            <w:tcMar>
              <w:top w:w="80" w:type="dxa"/>
              <w:left w:w="80" w:type="dxa"/>
              <w:bottom w:w="80" w:type="dxa"/>
              <w:right w:w="80" w:type="dxa"/>
            </w:tcMar>
          </w:tcPr>
          <w:p w14:paraId="71440C7D" w14:textId="77777777" w:rsidR="00343FB0" w:rsidRPr="00F63DA4" w:rsidRDefault="00343FB0" w:rsidP="00343FB0">
            <w:pPr>
              <w:jc w:val="center"/>
              <w:rPr>
                <w:b/>
                <w:sz w:val="22"/>
                <w:szCs w:val="22"/>
              </w:rPr>
            </w:pPr>
            <w:r w:rsidRPr="00F63DA4">
              <w:rPr>
                <w:b/>
                <w:sz w:val="22"/>
                <w:szCs w:val="22"/>
              </w:rPr>
              <w:t>0,40</w:t>
            </w:r>
          </w:p>
        </w:tc>
      </w:tr>
      <w:tr w:rsidR="00343FB0" w:rsidRPr="00C609A1" w14:paraId="024554DF" w14:textId="77777777" w:rsidTr="00412E5A">
        <w:trPr>
          <w:trHeight w:hRule="exact" w:val="287"/>
        </w:trPr>
        <w:tc>
          <w:tcPr>
            <w:tcW w:w="2204" w:type="dxa"/>
            <w:tcBorders>
              <w:top w:val="nil"/>
              <w:left w:val="nil"/>
              <w:bottom w:val="nil"/>
              <w:right w:val="nil"/>
            </w:tcBorders>
            <w:shd w:val="clear" w:color="auto" w:fill="auto"/>
            <w:tcMar>
              <w:top w:w="80" w:type="dxa"/>
              <w:left w:w="80" w:type="dxa"/>
              <w:bottom w:w="80" w:type="dxa"/>
              <w:right w:w="80" w:type="dxa"/>
            </w:tcMar>
          </w:tcPr>
          <w:p w14:paraId="49B11F7A" w14:textId="77777777" w:rsidR="00343FB0" w:rsidRPr="00F63DA4" w:rsidRDefault="00343FB0" w:rsidP="00343FB0">
            <w:pPr>
              <w:rPr>
                <w:sz w:val="22"/>
                <w:szCs w:val="22"/>
              </w:rPr>
            </w:pPr>
            <w:r w:rsidRPr="00F63DA4">
              <w:rPr>
                <w:i/>
                <w:iCs/>
                <w:sz w:val="22"/>
                <w:szCs w:val="22"/>
              </w:rPr>
              <w:t>di cui ITA</w:t>
            </w:r>
          </w:p>
        </w:tc>
        <w:tc>
          <w:tcPr>
            <w:tcW w:w="2062" w:type="dxa"/>
            <w:tcBorders>
              <w:top w:val="nil"/>
              <w:left w:val="nil"/>
              <w:bottom w:val="nil"/>
              <w:right w:val="nil"/>
            </w:tcBorders>
            <w:shd w:val="clear" w:color="auto" w:fill="auto"/>
            <w:tcMar>
              <w:top w:w="80" w:type="dxa"/>
              <w:left w:w="80" w:type="dxa"/>
              <w:bottom w:w="80" w:type="dxa"/>
              <w:right w:w="80" w:type="dxa"/>
            </w:tcMar>
          </w:tcPr>
          <w:p w14:paraId="2B115C18" w14:textId="77777777" w:rsidR="00343FB0" w:rsidRPr="00F63DA4" w:rsidRDefault="00343FB0" w:rsidP="00343FB0">
            <w:pPr>
              <w:jc w:val="center"/>
              <w:rPr>
                <w:sz w:val="22"/>
                <w:szCs w:val="22"/>
              </w:rPr>
            </w:pPr>
            <w:r w:rsidRPr="00F63DA4">
              <w:rPr>
                <w:i/>
                <w:iCs/>
                <w:sz w:val="22"/>
                <w:szCs w:val="22"/>
              </w:rPr>
              <w:t>10</w:t>
            </w:r>
          </w:p>
        </w:tc>
        <w:tc>
          <w:tcPr>
            <w:tcW w:w="2026" w:type="dxa"/>
            <w:tcBorders>
              <w:top w:val="nil"/>
              <w:left w:val="nil"/>
              <w:bottom w:val="nil"/>
              <w:right w:val="nil"/>
            </w:tcBorders>
            <w:shd w:val="clear" w:color="auto" w:fill="auto"/>
            <w:tcMar>
              <w:top w:w="80" w:type="dxa"/>
              <w:left w:w="80" w:type="dxa"/>
              <w:bottom w:w="80" w:type="dxa"/>
              <w:right w:w="80" w:type="dxa"/>
            </w:tcMar>
          </w:tcPr>
          <w:p w14:paraId="5406D737" w14:textId="77777777" w:rsidR="00343FB0" w:rsidRPr="00F63DA4" w:rsidRDefault="00343FB0" w:rsidP="00343FB0">
            <w:pPr>
              <w:jc w:val="center"/>
              <w:rPr>
                <w:sz w:val="22"/>
                <w:szCs w:val="22"/>
              </w:rPr>
            </w:pPr>
            <w:r w:rsidRPr="00F63DA4">
              <w:rPr>
                <w:i/>
                <w:iCs/>
                <w:sz w:val="22"/>
                <w:szCs w:val="22"/>
              </w:rPr>
              <w:t>5</w:t>
            </w:r>
          </w:p>
        </w:tc>
        <w:tc>
          <w:tcPr>
            <w:tcW w:w="3857" w:type="dxa"/>
            <w:tcBorders>
              <w:top w:val="nil"/>
              <w:left w:val="nil"/>
              <w:bottom w:val="nil"/>
              <w:right w:val="nil"/>
            </w:tcBorders>
            <w:shd w:val="clear" w:color="auto" w:fill="auto"/>
            <w:tcMar>
              <w:top w:w="80" w:type="dxa"/>
              <w:left w:w="80" w:type="dxa"/>
              <w:bottom w:w="80" w:type="dxa"/>
              <w:right w:w="80" w:type="dxa"/>
            </w:tcMar>
          </w:tcPr>
          <w:p w14:paraId="257B324C" w14:textId="77777777" w:rsidR="00343FB0" w:rsidRPr="00F63DA4" w:rsidRDefault="00343FB0" w:rsidP="00343FB0">
            <w:pPr>
              <w:jc w:val="center"/>
              <w:rPr>
                <w:i/>
                <w:sz w:val="22"/>
                <w:szCs w:val="22"/>
              </w:rPr>
            </w:pPr>
            <w:r w:rsidRPr="00F63DA4">
              <w:rPr>
                <w:i/>
                <w:sz w:val="22"/>
                <w:szCs w:val="22"/>
              </w:rPr>
              <w:t>0,04</w:t>
            </w:r>
          </w:p>
        </w:tc>
      </w:tr>
      <w:tr w:rsidR="00343FB0" w:rsidRPr="00C609A1" w14:paraId="0E2239FB" w14:textId="77777777" w:rsidTr="00412E5A">
        <w:trPr>
          <w:trHeight w:hRule="exact" w:val="287"/>
        </w:trPr>
        <w:tc>
          <w:tcPr>
            <w:tcW w:w="2204" w:type="dxa"/>
            <w:tcBorders>
              <w:top w:val="nil"/>
              <w:left w:val="nil"/>
              <w:bottom w:val="nil"/>
              <w:right w:val="nil"/>
            </w:tcBorders>
            <w:shd w:val="clear" w:color="auto" w:fill="auto"/>
            <w:tcMar>
              <w:top w:w="80" w:type="dxa"/>
              <w:left w:w="80" w:type="dxa"/>
              <w:bottom w:w="80" w:type="dxa"/>
              <w:right w:w="80" w:type="dxa"/>
            </w:tcMar>
          </w:tcPr>
          <w:p w14:paraId="38D59886" w14:textId="77777777" w:rsidR="00343FB0" w:rsidRPr="00F63DA4" w:rsidRDefault="00343FB0" w:rsidP="00343FB0">
            <w:pPr>
              <w:rPr>
                <w:sz w:val="22"/>
                <w:szCs w:val="22"/>
              </w:rPr>
            </w:pPr>
            <w:r w:rsidRPr="00F63DA4">
              <w:rPr>
                <w:b/>
                <w:bCs/>
                <w:sz w:val="22"/>
                <w:szCs w:val="22"/>
              </w:rPr>
              <w:t xml:space="preserve">Totale </w:t>
            </w:r>
          </w:p>
        </w:tc>
        <w:tc>
          <w:tcPr>
            <w:tcW w:w="2062" w:type="dxa"/>
            <w:tcBorders>
              <w:top w:val="nil"/>
              <w:left w:val="nil"/>
              <w:bottom w:val="nil"/>
              <w:right w:val="nil"/>
            </w:tcBorders>
            <w:shd w:val="clear" w:color="auto" w:fill="auto"/>
            <w:tcMar>
              <w:top w:w="80" w:type="dxa"/>
              <w:left w:w="80" w:type="dxa"/>
              <w:bottom w:w="80" w:type="dxa"/>
              <w:right w:w="80" w:type="dxa"/>
            </w:tcMar>
          </w:tcPr>
          <w:p w14:paraId="75491848" w14:textId="77777777" w:rsidR="00343FB0" w:rsidRPr="00F63DA4" w:rsidRDefault="00343FB0" w:rsidP="00343FB0">
            <w:pPr>
              <w:jc w:val="center"/>
              <w:rPr>
                <w:sz w:val="22"/>
                <w:szCs w:val="22"/>
              </w:rPr>
            </w:pPr>
            <w:r w:rsidRPr="00F63DA4">
              <w:rPr>
                <w:b/>
                <w:bCs/>
                <w:sz w:val="22"/>
                <w:szCs w:val="22"/>
              </w:rPr>
              <w:t>137</w:t>
            </w:r>
          </w:p>
        </w:tc>
        <w:tc>
          <w:tcPr>
            <w:tcW w:w="2026" w:type="dxa"/>
            <w:tcBorders>
              <w:top w:val="nil"/>
              <w:left w:val="nil"/>
              <w:bottom w:val="nil"/>
              <w:right w:val="nil"/>
            </w:tcBorders>
            <w:shd w:val="clear" w:color="auto" w:fill="auto"/>
            <w:tcMar>
              <w:top w:w="80" w:type="dxa"/>
              <w:left w:w="80" w:type="dxa"/>
              <w:bottom w:w="80" w:type="dxa"/>
              <w:right w:w="80" w:type="dxa"/>
            </w:tcMar>
          </w:tcPr>
          <w:p w14:paraId="10357D91" w14:textId="77777777" w:rsidR="00343FB0" w:rsidRPr="00F63DA4" w:rsidRDefault="00343FB0" w:rsidP="00343FB0">
            <w:pPr>
              <w:jc w:val="center"/>
              <w:rPr>
                <w:sz w:val="22"/>
                <w:szCs w:val="22"/>
              </w:rPr>
            </w:pPr>
            <w:r w:rsidRPr="00F63DA4">
              <w:rPr>
                <w:b/>
                <w:bCs/>
                <w:sz w:val="22"/>
                <w:szCs w:val="22"/>
              </w:rPr>
              <w:t>74</w:t>
            </w:r>
          </w:p>
        </w:tc>
        <w:tc>
          <w:tcPr>
            <w:tcW w:w="3857" w:type="dxa"/>
            <w:tcBorders>
              <w:top w:val="nil"/>
              <w:left w:val="nil"/>
              <w:bottom w:val="nil"/>
              <w:right w:val="nil"/>
            </w:tcBorders>
            <w:shd w:val="clear" w:color="auto" w:fill="auto"/>
            <w:tcMar>
              <w:top w:w="80" w:type="dxa"/>
              <w:left w:w="80" w:type="dxa"/>
              <w:bottom w:w="80" w:type="dxa"/>
              <w:right w:w="80" w:type="dxa"/>
            </w:tcMar>
          </w:tcPr>
          <w:p w14:paraId="6F1EDD71" w14:textId="77777777" w:rsidR="00343FB0" w:rsidRPr="00F63DA4" w:rsidRDefault="00343FB0" w:rsidP="00343FB0">
            <w:pPr>
              <w:jc w:val="center"/>
              <w:rPr>
                <w:sz w:val="22"/>
                <w:szCs w:val="22"/>
              </w:rPr>
            </w:pPr>
            <w:r w:rsidRPr="00F63DA4">
              <w:rPr>
                <w:b/>
                <w:bCs/>
                <w:sz w:val="22"/>
                <w:szCs w:val="22"/>
              </w:rPr>
              <w:t>1,42</w:t>
            </w:r>
          </w:p>
        </w:tc>
      </w:tr>
      <w:tr w:rsidR="00343FB0" w:rsidRPr="00C609A1" w14:paraId="5FF976C4" w14:textId="77777777" w:rsidTr="00412E5A">
        <w:trPr>
          <w:trHeight w:hRule="exact" w:val="287"/>
        </w:trPr>
        <w:tc>
          <w:tcPr>
            <w:tcW w:w="2204" w:type="dxa"/>
            <w:tcBorders>
              <w:top w:val="nil"/>
              <w:left w:val="nil"/>
              <w:bottom w:val="single" w:sz="4" w:space="0" w:color="000000"/>
              <w:right w:val="nil"/>
            </w:tcBorders>
            <w:shd w:val="clear" w:color="auto" w:fill="auto"/>
            <w:tcMar>
              <w:top w:w="80" w:type="dxa"/>
              <w:left w:w="80" w:type="dxa"/>
              <w:bottom w:w="80" w:type="dxa"/>
              <w:right w:w="80" w:type="dxa"/>
            </w:tcMar>
          </w:tcPr>
          <w:p w14:paraId="52170476" w14:textId="77777777" w:rsidR="00343FB0" w:rsidRPr="00F63DA4" w:rsidRDefault="00343FB0" w:rsidP="00343FB0">
            <w:pPr>
              <w:rPr>
                <w:sz w:val="22"/>
                <w:szCs w:val="22"/>
              </w:rPr>
            </w:pPr>
            <w:r w:rsidRPr="00F63DA4">
              <w:rPr>
                <w:b/>
                <w:bCs/>
                <w:i/>
                <w:iCs/>
                <w:sz w:val="22"/>
                <w:szCs w:val="22"/>
              </w:rPr>
              <w:t>di cui ITA</w:t>
            </w:r>
          </w:p>
        </w:tc>
        <w:tc>
          <w:tcPr>
            <w:tcW w:w="2062" w:type="dxa"/>
            <w:tcBorders>
              <w:top w:val="nil"/>
              <w:left w:val="nil"/>
              <w:bottom w:val="single" w:sz="4" w:space="0" w:color="000000"/>
              <w:right w:val="nil"/>
            </w:tcBorders>
            <w:shd w:val="clear" w:color="auto" w:fill="auto"/>
            <w:tcMar>
              <w:top w:w="80" w:type="dxa"/>
              <w:left w:w="80" w:type="dxa"/>
              <w:bottom w:w="80" w:type="dxa"/>
              <w:right w:w="80" w:type="dxa"/>
            </w:tcMar>
          </w:tcPr>
          <w:p w14:paraId="5812F822" w14:textId="77777777" w:rsidR="00343FB0" w:rsidRPr="00F63DA4" w:rsidRDefault="00343FB0" w:rsidP="00343FB0">
            <w:pPr>
              <w:jc w:val="center"/>
              <w:rPr>
                <w:sz w:val="22"/>
                <w:szCs w:val="22"/>
              </w:rPr>
            </w:pPr>
            <w:r w:rsidRPr="00F63DA4">
              <w:rPr>
                <w:b/>
                <w:bCs/>
                <w:i/>
                <w:iCs/>
                <w:sz w:val="22"/>
                <w:szCs w:val="22"/>
              </w:rPr>
              <w:t>17</w:t>
            </w:r>
          </w:p>
        </w:tc>
        <w:tc>
          <w:tcPr>
            <w:tcW w:w="2026" w:type="dxa"/>
            <w:tcBorders>
              <w:top w:val="nil"/>
              <w:left w:val="nil"/>
              <w:bottom w:val="single" w:sz="4" w:space="0" w:color="000000"/>
              <w:right w:val="nil"/>
            </w:tcBorders>
            <w:shd w:val="clear" w:color="auto" w:fill="auto"/>
            <w:tcMar>
              <w:top w:w="80" w:type="dxa"/>
              <w:left w:w="80" w:type="dxa"/>
              <w:bottom w:w="80" w:type="dxa"/>
              <w:right w:w="80" w:type="dxa"/>
            </w:tcMar>
          </w:tcPr>
          <w:p w14:paraId="6AC62550" w14:textId="77777777" w:rsidR="00343FB0" w:rsidRPr="00F63DA4" w:rsidRDefault="00343FB0" w:rsidP="00343FB0">
            <w:pPr>
              <w:jc w:val="center"/>
              <w:rPr>
                <w:sz w:val="22"/>
                <w:szCs w:val="22"/>
              </w:rPr>
            </w:pPr>
            <w:r w:rsidRPr="00F63DA4">
              <w:rPr>
                <w:b/>
                <w:bCs/>
                <w:i/>
                <w:iCs/>
                <w:sz w:val="22"/>
                <w:szCs w:val="22"/>
              </w:rPr>
              <w:t>11</w:t>
            </w:r>
          </w:p>
        </w:tc>
        <w:tc>
          <w:tcPr>
            <w:tcW w:w="3857" w:type="dxa"/>
            <w:tcBorders>
              <w:top w:val="nil"/>
              <w:left w:val="nil"/>
              <w:bottom w:val="single" w:sz="4" w:space="0" w:color="000000"/>
              <w:right w:val="nil"/>
            </w:tcBorders>
            <w:shd w:val="clear" w:color="auto" w:fill="auto"/>
            <w:tcMar>
              <w:top w:w="80" w:type="dxa"/>
              <w:left w:w="80" w:type="dxa"/>
              <w:bottom w:w="80" w:type="dxa"/>
              <w:right w:w="80" w:type="dxa"/>
            </w:tcMar>
          </w:tcPr>
          <w:p w14:paraId="4E925CA8" w14:textId="77777777" w:rsidR="00343FB0" w:rsidRPr="00F63DA4" w:rsidRDefault="00343FB0" w:rsidP="00343FB0">
            <w:pPr>
              <w:jc w:val="center"/>
              <w:rPr>
                <w:b/>
                <w:i/>
                <w:sz w:val="22"/>
                <w:szCs w:val="22"/>
              </w:rPr>
            </w:pPr>
            <w:r w:rsidRPr="00F63DA4">
              <w:rPr>
                <w:b/>
                <w:i/>
                <w:sz w:val="22"/>
                <w:szCs w:val="22"/>
              </w:rPr>
              <w:t>0,10</w:t>
            </w:r>
          </w:p>
        </w:tc>
      </w:tr>
    </w:tbl>
    <w:p w14:paraId="004E1FF6" w14:textId="77777777" w:rsidR="00343FB0" w:rsidRPr="008627B9" w:rsidRDefault="00343FB0" w:rsidP="00343FB0">
      <w:pPr>
        <w:rPr>
          <w:sz w:val="20"/>
          <w:szCs w:val="20"/>
        </w:rPr>
      </w:pPr>
      <w:r w:rsidRPr="008627B9">
        <w:rPr>
          <w:i/>
          <w:iCs/>
          <w:sz w:val="20"/>
          <w:szCs w:val="20"/>
        </w:rPr>
        <w:t>Fonte</w:t>
      </w:r>
      <w:r w:rsidR="006E3148">
        <w:rPr>
          <w:sz w:val="20"/>
          <w:szCs w:val="20"/>
        </w:rPr>
        <w:t>: Sito INEA</w:t>
      </w:r>
      <w:r w:rsidR="00412E5A">
        <w:rPr>
          <w:sz w:val="20"/>
          <w:szCs w:val="20"/>
        </w:rPr>
        <w:t>.</w:t>
      </w:r>
    </w:p>
    <w:p w14:paraId="502CE347" w14:textId="77777777" w:rsidR="00343FB0" w:rsidRPr="008627B9" w:rsidRDefault="00343FB0" w:rsidP="00343FB0">
      <w:r w:rsidRPr="008627B9">
        <w:rPr>
          <w:sz w:val="20"/>
          <w:szCs w:val="20"/>
        </w:rPr>
        <w:lastRenderedPageBreak/>
        <w:t xml:space="preserve"> </w:t>
      </w:r>
    </w:p>
    <w:p w14:paraId="6517FC80" w14:textId="77777777" w:rsidR="00343FB0" w:rsidRDefault="00343FB0" w:rsidP="00343FB0">
      <w:pPr>
        <w:ind w:firstLine="709"/>
        <w:jc w:val="both"/>
      </w:pPr>
      <w:r w:rsidRPr="008627B9">
        <w:t xml:space="preserve">In totale, nell’ambito del bando CEF 2017 - </w:t>
      </w:r>
      <w:proofErr w:type="spellStart"/>
      <w:r w:rsidRPr="008627B9">
        <w:rPr>
          <w:i/>
        </w:rPr>
        <w:t>Blending</w:t>
      </w:r>
      <w:proofErr w:type="spellEnd"/>
      <w:r w:rsidRPr="008627B9">
        <w:t>, sono state presentate 137 proposte per una richiesta di finanziamento di oltre 3 miliardi di euro a fronte di una disponibilità di 1,35 miliardi. La Commissione ha selezionato, 74 proposte per un finanziamento pari a circa 1,42 miliardi di euro di cui 11 proposte italiane per un contributo previsto di circa 102 milioni di euro a cui si aggiungono 3 interventi che prevedono attività su territorio italiano da parte di soggetti stranieri.</w:t>
      </w:r>
    </w:p>
    <w:p w14:paraId="643E9D54" w14:textId="77777777" w:rsidR="00412E5A" w:rsidRPr="008627B9" w:rsidRDefault="00412E5A" w:rsidP="00343FB0">
      <w:pPr>
        <w:ind w:firstLine="709"/>
        <w:jc w:val="both"/>
      </w:pPr>
    </w:p>
    <w:p w14:paraId="51268FC2" w14:textId="77777777" w:rsidR="00343FB0" w:rsidRPr="008627B9" w:rsidRDefault="00343FB0" w:rsidP="00514CAB">
      <w:pPr>
        <w:jc w:val="both"/>
      </w:pPr>
    </w:p>
    <w:p w14:paraId="4F65E310" w14:textId="77777777" w:rsidR="00343FB0" w:rsidRDefault="00343FB0" w:rsidP="00343FB0">
      <w:pPr>
        <w:jc w:val="both"/>
        <w:rPr>
          <w:b/>
          <w:bCs/>
        </w:rPr>
      </w:pPr>
      <w:r w:rsidRPr="008627B9">
        <w:rPr>
          <w:b/>
          <w:bCs/>
        </w:rPr>
        <w:t xml:space="preserve">XI.4.4.6 - Bando CEF Transport 2017 </w:t>
      </w:r>
      <w:r w:rsidR="00514CAB">
        <w:rPr>
          <w:b/>
          <w:bCs/>
        </w:rPr>
        <w:t>–</w:t>
      </w:r>
      <w:r w:rsidRPr="008627B9">
        <w:rPr>
          <w:b/>
          <w:bCs/>
        </w:rPr>
        <w:t xml:space="preserve"> SESAR</w:t>
      </w:r>
    </w:p>
    <w:p w14:paraId="12C4B1A2" w14:textId="77777777" w:rsidR="00514CAB" w:rsidRPr="008627B9" w:rsidRDefault="00514CAB" w:rsidP="00343FB0">
      <w:pPr>
        <w:jc w:val="both"/>
        <w:rPr>
          <w:b/>
          <w:bCs/>
        </w:rPr>
      </w:pPr>
    </w:p>
    <w:p w14:paraId="1EDF5F02" w14:textId="77777777" w:rsidR="00343FB0" w:rsidRPr="008627B9" w:rsidRDefault="00343FB0" w:rsidP="00343FB0">
      <w:pPr>
        <w:ind w:firstLine="709"/>
        <w:jc w:val="both"/>
      </w:pPr>
      <w:r w:rsidRPr="008627B9">
        <w:t>Nel corso del 2017 è stata inoltre indetta una call indirizzata solo alla priorità “Cielo Unico Europeo” nel campo dell’aviazione (SESAR) che ha messo a disposizione fondi per complessivi 290 milioni di euro. Sono state presentate</w:t>
      </w:r>
      <w:r w:rsidR="00CE7B15">
        <w:t xml:space="preserve"> dagli Stati membri</w:t>
      </w:r>
      <w:r w:rsidRPr="008627B9">
        <w:t xml:space="preserve"> 33 proposte di azioni per un contributo complessivo richiesto di oltre 400 milioni di euro, a testimonianza dell’alto interesse per la tematica.</w:t>
      </w:r>
    </w:p>
    <w:p w14:paraId="7A4C8A51" w14:textId="77777777" w:rsidR="00343FB0" w:rsidRPr="00412E5A" w:rsidRDefault="00343FB0" w:rsidP="00343FB0">
      <w:pPr>
        <w:ind w:firstLine="709"/>
        <w:jc w:val="both"/>
        <w:rPr>
          <w:color w:val="000000" w:themeColor="text1"/>
        </w:rPr>
      </w:pPr>
      <w:r w:rsidRPr="008627B9">
        <w:t xml:space="preserve">Tra le proposte </w:t>
      </w:r>
      <w:r w:rsidRPr="00412E5A">
        <w:rPr>
          <w:color w:val="000000" w:themeColor="text1"/>
        </w:rPr>
        <w:t xml:space="preserve">presentate, l’azione europea del </w:t>
      </w:r>
      <w:r w:rsidRPr="00412E5A">
        <w:rPr>
          <w:i/>
          <w:color w:val="000000" w:themeColor="text1"/>
        </w:rPr>
        <w:t>SESAR Deployment manager</w:t>
      </w:r>
      <w:r w:rsidRPr="00412E5A">
        <w:rPr>
          <w:color w:val="000000" w:themeColor="text1"/>
        </w:rPr>
        <w:t xml:space="preserve"> che vede il coinvolgimento dei beneficiari italiani ENAV, LEONARDO, SEA, Ministero della Difesa e ADR, è stata finanziata per un importo pari a circa 232 milioni di euro di cui circa il 10% del budget, pari a 31,6 milioni di euro, è allocato al </w:t>
      </w:r>
      <w:r w:rsidR="003232B0" w:rsidRPr="00412E5A">
        <w:rPr>
          <w:color w:val="000000" w:themeColor="text1"/>
        </w:rPr>
        <w:t xml:space="preserve">Partenariato </w:t>
      </w:r>
      <w:r w:rsidRPr="00412E5A">
        <w:rPr>
          <w:color w:val="000000" w:themeColor="text1"/>
        </w:rPr>
        <w:t>italiano.</w:t>
      </w:r>
    </w:p>
    <w:p w14:paraId="65634746" w14:textId="77777777" w:rsidR="00343FB0" w:rsidRPr="00412E5A" w:rsidRDefault="00343FB0" w:rsidP="00514CAB">
      <w:pPr>
        <w:ind w:firstLine="709"/>
        <w:jc w:val="both"/>
        <w:rPr>
          <w:color w:val="000000" w:themeColor="text1"/>
        </w:rPr>
      </w:pPr>
      <w:r w:rsidRPr="00412E5A">
        <w:rPr>
          <w:color w:val="000000" w:themeColor="text1"/>
        </w:rPr>
        <w:t xml:space="preserve">Nel corso del 2018 è </w:t>
      </w:r>
      <w:r w:rsidR="00BD39A4" w:rsidRPr="00412E5A">
        <w:rPr>
          <w:color w:val="000000" w:themeColor="text1"/>
        </w:rPr>
        <w:t xml:space="preserve">stato </w:t>
      </w:r>
      <w:r w:rsidRPr="00412E5A">
        <w:rPr>
          <w:color w:val="000000" w:themeColor="text1"/>
        </w:rPr>
        <w:t xml:space="preserve">inoltre </w:t>
      </w:r>
      <w:r w:rsidR="00BD39A4" w:rsidRPr="00412E5A">
        <w:rPr>
          <w:color w:val="000000" w:themeColor="text1"/>
        </w:rPr>
        <w:t>indetto</w:t>
      </w:r>
      <w:r w:rsidRPr="00412E5A">
        <w:rPr>
          <w:color w:val="000000" w:themeColor="text1"/>
        </w:rPr>
        <w:t xml:space="preserve"> </w:t>
      </w:r>
      <w:r w:rsidR="00D544A2" w:rsidRPr="00412E5A">
        <w:rPr>
          <w:color w:val="000000" w:themeColor="text1"/>
        </w:rPr>
        <w:t>un bando denominato “</w:t>
      </w:r>
      <w:r w:rsidRPr="00412E5A">
        <w:rPr>
          <w:i/>
          <w:color w:val="000000" w:themeColor="text1"/>
        </w:rPr>
        <w:t>SESAR JOINT UNDERTAKING</w:t>
      </w:r>
      <w:r w:rsidR="00D544A2" w:rsidRPr="00412E5A">
        <w:rPr>
          <w:i/>
          <w:color w:val="000000" w:themeColor="text1"/>
        </w:rPr>
        <w:t>”</w:t>
      </w:r>
      <w:r w:rsidRPr="00412E5A">
        <w:rPr>
          <w:color w:val="000000" w:themeColor="text1"/>
        </w:rPr>
        <w:t xml:space="preserve">, rivolto alla sperimentazione e </w:t>
      </w:r>
      <w:r w:rsidR="00E078F5" w:rsidRPr="00412E5A">
        <w:rPr>
          <w:color w:val="000000" w:themeColor="text1"/>
        </w:rPr>
        <w:t xml:space="preserve">Azioni </w:t>
      </w:r>
      <w:r w:rsidRPr="00412E5A">
        <w:rPr>
          <w:color w:val="000000" w:themeColor="text1"/>
        </w:rPr>
        <w:t>pilota sui droni con una dotazione finanziaria pari a 9,5 milioni di euro in cui la proposta italiana con capofila ENAV ha conseguito l’approvazione per un co-finanziamento pari a 1,98 milioni di euro.</w:t>
      </w:r>
    </w:p>
    <w:p w14:paraId="2CB24064" w14:textId="77777777" w:rsidR="00343FB0" w:rsidRDefault="00343FB0" w:rsidP="00343FB0">
      <w:pPr>
        <w:rPr>
          <w:b/>
          <w:bCs/>
          <w:color w:val="000000" w:themeColor="text1"/>
        </w:rPr>
      </w:pPr>
    </w:p>
    <w:p w14:paraId="4D5D0EC0" w14:textId="77777777" w:rsidR="00412E5A" w:rsidRPr="00412E5A" w:rsidRDefault="00412E5A" w:rsidP="00343FB0">
      <w:pPr>
        <w:rPr>
          <w:b/>
          <w:bCs/>
          <w:color w:val="000000" w:themeColor="text1"/>
        </w:rPr>
      </w:pPr>
    </w:p>
    <w:p w14:paraId="060BAE1A" w14:textId="77777777" w:rsidR="00343FB0" w:rsidRPr="00412E5A" w:rsidRDefault="00343FB0" w:rsidP="00343FB0">
      <w:pPr>
        <w:jc w:val="both"/>
        <w:rPr>
          <w:b/>
          <w:bCs/>
          <w:color w:val="000000" w:themeColor="text1"/>
        </w:rPr>
      </w:pPr>
      <w:r w:rsidRPr="00412E5A">
        <w:rPr>
          <w:b/>
          <w:bCs/>
          <w:color w:val="000000" w:themeColor="text1"/>
        </w:rPr>
        <w:t>XI.4.4.7 - Bando CEF Transport 2018</w:t>
      </w:r>
    </w:p>
    <w:p w14:paraId="0922C077" w14:textId="77777777" w:rsidR="00514CAB" w:rsidRPr="00412E5A" w:rsidRDefault="00514CAB" w:rsidP="00343FB0">
      <w:pPr>
        <w:jc w:val="both"/>
        <w:rPr>
          <w:b/>
          <w:bCs/>
          <w:color w:val="000000" w:themeColor="text1"/>
        </w:rPr>
      </w:pPr>
    </w:p>
    <w:p w14:paraId="153E3E5E" w14:textId="77777777" w:rsidR="00343FB0" w:rsidRPr="00412E5A" w:rsidRDefault="00343FB0" w:rsidP="00343FB0">
      <w:pPr>
        <w:ind w:firstLine="709"/>
        <w:jc w:val="both"/>
        <w:rPr>
          <w:color w:val="000000" w:themeColor="text1"/>
        </w:rPr>
      </w:pPr>
      <w:r w:rsidRPr="00412E5A">
        <w:rPr>
          <w:color w:val="000000" w:themeColor="text1"/>
        </w:rPr>
        <w:t>Il bando CEF Transport 2018, lanciato in data 17 maggio 2018, con dotazione finanziaria pari a 450 milioni di euro, prevedeva finanziamenti a fondo perduto per interventi sulla rete centrale (</w:t>
      </w:r>
      <w:r w:rsidRPr="00412E5A">
        <w:rPr>
          <w:i/>
          <w:color w:val="000000" w:themeColor="text1"/>
        </w:rPr>
        <w:t>Core Network</w:t>
      </w:r>
      <w:r w:rsidRPr="00412E5A">
        <w:rPr>
          <w:color w:val="000000" w:themeColor="text1"/>
        </w:rPr>
        <w:t>). Le tipologie di proposte eleggibili comprendevano studi e progettazioni, lavori nonché proposte miste con progettazioni e lavori.</w:t>
      </w:r>
    </w:p>
    <w:p w14:paraId="0FEB6B47" w14:textId="77777777" w:rsidR="00343FB0" w:rsidRPr="00412E5A" w:rsidRDefault="00343FB0" w:rsidP="00343FB0">
      <w:pPr>
        <w:ind w:firstLine="709"/>
        <w:jc w:val="both"/>
        <w:rPr>
          <w:color w:val="000000" w:themeColor="text1"/>
        </w:rPr>
      </w:pPr>
      <w:r w:rsidRPr="00412E5A">
        <w:rPr>
          <w:color w:val="000000" w:themeColor="text1"/>
        </w:rPr>
        <w:t xml:space="preserve">A livello europeo sono </w:t>
      </w:r>
      <w:r w:rsidR="00526C1F" w:rsidRPr="00412E5A">
        <w:rPr>
          <w:color w:val="000000" w:themeColor="text1"/>
        </w:rPr>
        <w:t xml:space="preserve">state </w:t>
      </w:r>
      <w:r w:rsidRPr="00412E5A">
        <w:rPr>
          <w:color w:val="000000" w:themeColor="text1"/>
        </w:rPr>
        <w:t xml:space="preserve">sottomesse 148 proposte con una richiesta di fondi europei per 929 milioni di euro a fronte dei 450 milioni di euro disponibili. Delle 142 proposte ritenute eleggibili, la Commissione Europea ne ha selezionate 69 per un contributo finanziario pari a 421,23 milioni di euro. Nella </w:t>
      </w:r>
      <w:proofErr w:type="spellStart"/>
      <w:r w:rsidRPr="00412E5A">
        <w:rPr>
          <w:color w:val="000000" w:themeColor="text1"/>
        </w:rPr>
        <w:t>Tab</w:t>
      </w:r>
      <w:proofErr w:type="spellEnd"/>
      <w:r w:rsidRPr="00412E5A">
        <w:rPr>
          <w:color w:val="000000" w:themeColor="text1"/>
        </w:rPr>
        <w:t>. XI.4.4.7.1 sono schematicamente riportate tali informazioni.</w:t>
      </w:r>
    </w:p>
    <w:p w14:paraId="557F2F13" w14:textId="77777777" w:rsidR="00343FB0" w:rsidRPr="00412E5A" w:rsidRDefault="00343FB0" w:rsidP="00343FB0">
      <w:pPr>
        <w:ind w:firstLine="709"/>
        <w:jc w:val="both"/>
        <w:rPr>
          <w:color w:val="000000" w:themeColor="text1"/>
        </w:rPr>
      </w:pPr>
      <w:r w:rsidRPr="00412E5A">
        <w:rPr>
          <w:color w:val="000000" w:themeColor="text1"/>
        </w:rPr>
        <w:t xml:space="preserve">Delle 29 proposte presentate dall’Italia, la Commissione Europea ne ha selezionato 14 (sette delle quali in </w:t>
      </w:r>
      <w:r w:rsidR="00526C1F" w:rsidRPr="00412E5A">
        <w:rPr>
          <w:color w:val="000000" w:themeColor="text1"/>
        </w:rPr>
        <w:t xml:space="preserve">Partenariato </w:t>
      </w:r>
      <w:r w:rsidRPr="00412E5A">
        <w:rPr>
          <w:color w:val="000000" w:themeColor="text1"/>
        </w:rPr>
        <w:t xml:space="preserve">internazionale) accordando un finanziamento di circa 42,5 milioni di euro. Tra i progetti italiani figura la proposta legata alla situazione emergenziale e difficoltosa del nodo di Genova a causa dei pesanti problemi infrastrutturali legati al crollo del Ponte Morandi e che prevede l'implementazione di una piattaforma ICT denominata </w:t>
      </w:r>
      <w:r w:rsidR="00B76C6E" w:rsidRPr="00412E5A">
        <w:rPr>
          <w:color w:val="000000" w:themeColor="text1"/>
        </w:rPr>
        <w:t>“</w:t>
      </w:r>
      <w:r w:rsidRPr="00412E5A">
        <w:rPr>
          <w:color w:val="000000" w:themeColor="text1"/>
        </w:rPr>
        <w:t>E-Bridge</w:t>
      </w:r>
      <w:r w:rsidR="00B76C6E" w:rsidRPr="00412E5A">
        <w:rPr>
          <w:color w:val="000000" w:themeColor="text1"/>
        </w:rPr>
        <w:t>”</w:t>
      </w:r>
      <w:r w:rsidRPr="00412E5A">
        <w:rPr>
          <w:color w:val="000000" w:themeColor="text1"/>
        </w:rPr>
        <w:t xml:space="preserve"> (</w:t>
      </w:r>
      <w:r w:rsidRPr="00412E5A">
        <w:rPr>
          <w:i/>
          <w:color w:val="000000" w:themeColor="text1"/>
        </w:rPr>
        <w:t xml:space="preserve">Emergency and </w:t>
      </w:r>
      <w:proofErr w:type="spellStart"/>
      <w:r w:rsidRPr="00412E5A">
        <w:rPr>
          <w:i/>
          <w:color w:val="000000" w:themeColor="text1"/>
        </w:rPr>
        <w:t>BRoad</w:t>
      </w:r>
      <w:proofErr w:type="spellEnd"/>
      <w:r w:rsidRPr="00412E5A">
        <w:rPr>
          <w:i/>
          <w:color w:val="000000" w:themeColor="text1"/>
        </w:rPr>
        <w:t xml:space="preserve"> Information Development per i porti di Genova</w:t>
      </w:r>
      <w:r w:rsidRPr="00412E5A">
        <w:rPr>
          <w:color w:val="000000" w:themeColor="text1"/>
        </w:rPr>
        <w:t xml:space="preserve">) finalizzata alla condivisione dei dati tra sistemi portuali, varchi dei terminal, aree </w:t>
      </w:r>
      <w:r w:rsidR="00D544A2" w:rsidRPr="00412E5A">
        <w:rPr>
          <w:color w:val="000000" w:themeColor="text1"/>
        </w:rPr>
        <w:t>b</w:t>
      </w:r>
      <w:r w:rsidRPr="00412E5A">
        <w:rPr>
          <w:color w:val="000000" w:themeColor="text1"/>
        </w:rPr>
        <w:t xml:space="preserve">uffer e connessioni di ultimo miglio ferroviari per finanziamento europeo pari a 6,1 milioni di euro. </w:t>
      </w:r>
    </w:p>
    <w:p w14:paraId="0B3DD328" w14:textId="77777777" w:rsidR="00343FB0" w:rsidRPr="008627B9" w:rsidRDefault="00343FB0" w:rsidP="00343FB0">
      <w:pPr>
        <w:ind w:left="284" w:hanging="284"/>
        <w:jc w:val="both"/>
        <w:rPr>
          <w:b/>
          <w:bCs/>
        </w:rPr>
      </w:pPr>
    </w:p>
    <w:p w14:paraId="5DDA648B" w14:textId="77777777" w:rsidR="00343FB0" w:rsidRDefault="00343FB0" w:rsidP="00343FB0">
      <w:pPr>
        <w:ind w:left="284" w:hanging="284"/>
        <w:rPr>
          <w:b/>
          <w:bCs/>
        </w:rPr>
      </w:pPr>
      <w:r w:rsidRPr="008627B9">
        <w:rPr>
          <w:b/>
          <w:bCs/>
        </w:rPr>
        <w:t>Tabella XI.4.4.7.</w:t>
      </w:r>
      <w:r w:rsidR="00D544A2">
        <w:rPr>
          <w:b/>
          <w:bCs/>
        </w:rPr>
        <w:t>1</w:t>
      </w:r>
      <w:r w:rsidRPr="008627B9">
        <w:rPr>
          <w:b/>
          <w:bCs/>
        </w:rPr>
        <w:t xml:space="preserve"> - Sintesi Bando CEF </w:t>
      </w:r>
      <w:proofErr w:type="spellStart"/>
      <w:r w:rsidRPr="008627B9">
        <w:rPr>
          <w:b/>
          <w:bCs/>
        </w:rPr>
        <w:t>Transport</w:t>
      </w:r>
      <w:proofErr w:type="spellEnd"/>
      <w:r w:rsidRPr="008627B9">
        <w:rPr>
          <w:b/>
          <w:bCs/>
        </w:rPr>
        <w:t xml:space="preserve"> 2018</w:t>
      </w:r>
    </w:p>
    <w:p w14:paraId="1E501F7C" w14:textId="77777777" w:rsidR="00412E5A" w:rsidRPr="008627B9" w:rsidRDefault="00412E5A" w:rsidP="00343FB0">
      <w:pPr>
        <w:ind w:left="284" w:hanging="284"/>
        <w:rPr>
          <w:b/>
          <w:bCs/>
        </w:rPr>
      </w:pPr>
    </w:p>
    <w:tbl>
      <w:tblPr>
        <w:tblStyle w:val="TableNormal1"/>
        <w:tblW w:w="99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76"/>
        <w:gridCol w:w="2077"/>
        <w:gridCol w:w="1945"/>
        <w:gridCol w:w="3780"/>
      </w:tblGrid>
      <w:tr w:rsidR="00343FB0" w:rsidRPr="00C609A1" w14:paraId="226F6987" w14:textId="77777777" w:rsidTr="001B6714">
        <w:trPr>
          <w:trHeight w:val="148"/>
        </w:trPr>
        <w:tc>
          <w:tcPr>
            <w:tcW w:w="2176"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2D49C9C" w14:textId="77777777" w:rsidR="00343FB0" w:rsidRPr="00F63DA4" w:rsidRDefault="00343FB0" w:rsidP="00343FB0">
            <w:pPr>
              <w:rPr>
                <w:sz w:val="22"/>
                <w:szCs w:val="22"/>
              </w:rPr>
            </w:pPr>
          </w:p>
        </w:tc>
        <w:tc>
          <w:tcPr>
            <w:tcW w:w="207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188C7DE" w14:textId="77777777" w:rsidR="00343FB0" w:rsidRPr="00F63DA4" w:rsidRDefault="00343FB0" w:rsidP="00343FB0">
            <w:pPr>
              <w:jc w:val="both"/>
              <w:rPr>
                <w:sz w:val="22"/>
                <w:szCs w:val="22"/>
              </w:rPr>
            </w:pPr>
            <w:r w:rsidRPr="00F63DA4">
              <w:rPr>
                <w:b/>
                <w:bCs/>
                <w:sz w:val="22"/>
                <w:szCs w:val="22"/>
              </w:rPr>
              <w:t>Domande ricevute</w:t>
            </w:r>
          </w:p>
        </w:tc>
        <w:tc>
          <w:tcPr>
            <w:tcW w:w="194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7685628" w14:textId="77777777" w:rsidR="00343FB0" w:rsidRPr="00F63DA4" w:rsidRDefault="00343FB0" w:rsidP="00343FB0">
            <w:pPr>
              <w:jc w:val="both"/>
              <w:rPr>
                <w:sz w:val="22"/>
                <w:szCs w:val="22"/>
              </w:rPr>
            </w:pPr>
            <w:r w:rsidRPr="00F63DA4">
              <w:rPr>
                <w:b/>
                <w:bCs/>
                <w:sz w:val="22"/>
                <w:szCs w:val="22"/>
              </w:rPr>
              <w:t>Azioni finanziate</w:t>
            </w:r>
          </w:p>
        </w:tc>
        <w:tc>
          <w:tcPr>
            <w:tcW w:w="378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8BE2A74" w14:textId="77777777" w:rsidR="00343FB0" w:rsidRPr="00F63DA4" w:rsidRDefault="00343FB0" w:rsidP="00343FB0">
            <w:pPr>
              <w:jc w:val="center"/>
              <w:rPr>
                <w:sz w:val="22"/>
                <w:szCs w:val="22"/>
              </w:rPr>
            </w:pPr>
            <w:r w:rsidRPr="00F63DA4">
              <w:rPr>
                <w:b/>
                <w:bCs/>
                <w:sz w:val="22"/>
                <w:szCs w:val="22"/>
              </w:rPr>
              <w:t>Supporto CEF (miliardi €)</w:t>
            </w:r>
          </w:p>
        </w:tc>
      </w:tr>
      <w:tr w:rsidR="00343FB0" w:rsidRPr="00C609A1" w14:paraId="45A770CA" w14:textId="77777777" w:rsidTr="001B6714">
        <w:trPr>
          <w:trHeight w:val="15"/>
        </w:trPr>
        <w:tc>
          <w:tcPr>
            <w:tcW w:w="2176" w:type="dxa"/>
            <w:tcBorders>
              <w:top w:val="single" w:sz="4" w:space="0" w:color="000000"/>
              <w:left w:val="nil"/>
              <w:bottom w:val="nil"/>
              <w:right w:val="nil"/>
            </w:tcBorders>
            <w:shd w:val="clear" w:color="auto" w:fill="auto"/>
            <w:tcMar>
              <w:top w:w="80" w:type="dxa"/>
              <w:left w:w="80" w:type="dxa"/>
              <w:bottom w:w="80" w:type="dxa"/>
              <w:right w:w="80" w:type="dxa"/>
            </w:tcMar>
          </w:tcPr>
          <w:p w14:paraId="27301B2A" w14:textId="77777777" w:rsidR="00343FB0" w:rsidRPr="00F63DA4" w:rsidRDefault="00343FB0" w:rsidP="00343FB0">
            <w:pPr>
              <w:rPr>
                <w:b/>
                <w:sz w:val="22"/>
                <w:szCs w:val="22"/>
              </w:rPr>
            </w:pPr>
            <w:r w:rsidRPr="00F63DA4">
              <w:rPr>
                <w:b/>
                <w:sz w:val="22"/>
                <w:szCs w:val="22"/>
              </w:rPr>
              <w:t xml:space="preserve">Totali </w:t>
            </w:r>
          </w:p>
        </w:tc>
        <w:tc>
          <w:tcPr>
            <w:tcW w:w="2077" w:type="dxa"/>
            <w:tcBorders>
              <w:top w:val="single" w:sz="4" w:space="0" w:color="000000"/>
              <w:left w:val="nil"/>
              <w:bottom w:val="nil"/>
              <w:right w:val="nil"/>
            </w:tcBorders>
            <w:shd w:val="clear" w:color="auto" w:fill="auto"/>
            <w:tcMar>
              <w:top w:w="80" w:type="dxa"/>
              <w:left w:w="80" w:type="dxa"/>
              <w:bottom w:w="80" w:type="dxa"/>
              <w:right w:w="80" w:type="dxa"/>
            </w:tcMar>
          </w:tcPr>
          <w:p w14:paraId="7B8ED9CB" w14:textId="77777777" w:rsidR="00343FB0" w:rsidRPr="00F63DA4" w:rsidRDefault="00343FB0" w:rsidP="00343FB0">
            <w:pPr>
              <w:jc w:val="center"/>
              <w:rPr>
                <w:b/>
                <w:sz w:val="22"/>
                <w:szCs w:val="22"/>
              </w:rPr>
            </w:pPr>
            <w:r w:rsidRPr="00F63DA4">
              <w:rPr>
                <w:b/>
                <w:sz w:val="22"/>
                <w:szCs w:val="22"/>
              </w:rPr>
              <w:t>148</w:t>
            </w:r>
          </w:p>
        </w:tc>
        <w:tc>
          <w:tcPr>
            <w:tcW w:w="1945" w:type="dxa"/>
            <w:tcBorders>
              <w:top w:val="single" w:sz="4" w:space="0" w:color="000000"/>
              <w:left w:val="nil"/>
              <w:bottom w:val="nil"/>
              <w:right w:val="nil"/>
            </w:tcBorders>
            <w:shd w:val="clear" w:color="auto" w:fill="auto"/>
            <w:tcMar>
              <w:top w:w="80" w:type="dxa"/>
              <w:left w:w="80" w:type="dxa"/>
              <w:bottom w:w="80" w:type="dxa"/>
              <w:right w:w="80" w:type="dxa"/>
            </w:tcMar>
          </w:tcPr>
          <w:p w14:paraId="32464226" w14:textId="77777777" w:rsidR="00343FB0" w:rsidRPr="00F63DA4" w:rsidRDefault="00343FB0" w:rsidP="00343FB0">
            <w:pPr>
              <w:jc w:val="center"/>
              <w:rPr>
                <w:b/>
                <w:sz w:val="22"/>
                <w:szCs w:val="22"/>
              </w:rPr>
            </w:pPr>
            <w:r w:rsidRPr="00F63DA4">
              <w:rPr>
                <w:b/>
                <w:sz w:val="22"/>
                <w:szCs w:val="22"/>
              </w:rPr>
              <w:t>69</w:t>
            </w:r>
          </w:p>
        </w:tc>
        <w:tc>
          <w:tcPr>
            <w:tcW w:w="3780" w:type="dxa"/>
            <w:tcBorders>
              <w:top w:val="single" w:sz="4" w:space="0" w:color="000000"/>
              <w:left w:val="nil"/>
              <w:bottom w:val="nil"/>
              <w:right w:val="nil"/>
            </w:tcBorders>
            <w:shd w:val="clear" w:color="auto" w:fill="auto"/>
            <w:tcMar>
              <w:top w:w="80" w:type="dxa"/>
              <w:left w:w="80" w:type="dxa"/>
              <w:bottom w:w="80" w:type="dxa"/>
              <w:right w:w="80" w:type="dxa"/>
            </w:tcMar>
          </w:tcPr>
          <w:p w14:paraId="4C6479F4" w14:textId="77777777" w:rsidR="00343FB0" w:rsidRPr="00F63DA4" w:rsidRDefault="00343FB0" w:rsidP="00343FB0">
            <w:pPr>
              <w:jc w:val="center"/>
              <w:rPr>
                <w:b/>
                <w:sz w:val="22"/>
                <w:szCs w:val="22"/>
              </w:rPr>
            </w:pPr>
            <w:r w:rsidRPr="000C5475">
              <w:rPr>
                <w:b/>
                <w:sz w:val="22"/>
                <w:szCs w:val="22"/>
              </w:rPr>
              <w:t>0,4</w:t>
            </w:r>
            <w:r w:rsidR="00B326C9" w:rsidRPr="000C5475">
              <w:rPr>
                <w:b/>
                <w:sz w:val="22"/>
                <w:szCs w:val="22"/>
              </w:rPr>
              <w:t>5</w:t>
            </w:r>
          </w:p>
        </w:tc>
      </w:tr>
      <w:tr w:rsidR="00343FB0" w:rsidRPr="00C609A1" w14:paraId="384E0D44" w14:textId="77777777" w:rsidTr="001B6714">
        <w:trPr>
          <w:trHeight w:val="272"/>
        </w:trPr>
        <w:tc>
          <w:tcPr>
            <w:tcW w:w="2176" w:type="dxa"/>
            <w:tcBorders>
              <w:top w:val="nil"/>
              <w:left w:val="nil"/>
              <w:bottom w:val="single" w:sz="4" w:space="0" w:color="000000"/>
              <w:right w:val="nil"/>
            </w:tcBorders>
            <w:shd w:val="clear" w:color="auto" w:fill="auto"/>
            <w:tcMar>
              <w:top w:w="80" w:type="dxa"/>
              <w:left w:w="80" w:type="dxa"/>
              <w:bottom w:w="80" w:type="dxa"/>
              <w:right w:w="80" w:type="dxa"/>
            </w:tcMar>
          </w:tcPr>
          <w:p w14:paraId="439EC57B" w14:textId="77777777" w:rsidR="00343FB0" w:rsidRPr="00F63DA4" w:rsidRDefault="00343FB0" w:rsidP="00343FB0">
            <w:pPr>
              <w:rPr>
                <w:sz w:val="22"/>
                <w:szCs w:val="22"/>
              </w:rPr>
            </w:pPr>
            <w:r w:rsidRPr="00F63DA4">
              <w:rPr>
                <w:i/>
                <w:iCs/>
                <w:sz w:val="22"/>
                <w:szCs w:val="22"/>
              </w:rPr>
              <w:t>di cui ITA</w:t>
            </w:r>
          </w:p>
        </w:tc>
        <w:tc>
          <w:tcPr>
            <w:tcW w:w="2077" w:type="dxa"/>
            <w:tcBorders>
              <w:top w:val="nil"/>
              <w:left w:val="nil"/>
              <w:bottom w:val="single" w:sz="4" w:space="0" w:color="000000"/>
              <w:right w:val="nil"/>
            </w:tcBorders>
            <w:shd w:val="clear" w:color="auto" w:fill="auto"/>
            <w:tcMar>
              <w:top w:w="80" w:type="dxa"/>
              <w:left w:w="80" w:type="dxa"/>
              <w:bottom w:w="80" w:type="dxa"/>
              <w:right w:w="80" w:type="dxa"/>
            </w:tcMar>
          </w:tcPr>
          <w:p w14:paraId="3D0AE031" w14:textId="77777777" w:rsidR="00343FB0" w:rsidRPr="00F63DA4" w:rsidRDefault="00343FB0" w:rsidP="00343FB0">
            <w:pPr>
              <w:jc w:val="center"/>
              <w:rPr>
                <w:sz w:val="22"/>
                <w:szCs w:val="22"/>
              </w:rPr>
            </w:pPr>
            <w:r w:rsidRPr="00F63DA4">
              <w:rPr>
                <w:i/>
                <w:iCs/>
                <w:sz w:val="22"/>
                <w:szCs w:val="22"/>
              </w:rPr>
              <w:t>29</w:t>
            </w:r>
          </w:p>
        </w:tc>
        <w:tc>
          <w:tcPr>
            <w:tcW w:w="1945" w:type="dxa"/>
            <w:tcBorders>
              <w:top w:val="nil"/>
              <w:left w:val="nil"/>
              <w:bottom w:val="single" w:sz="4" w:space="0" w:color="000000"/>
              <w:right w:val="nil"/>
            </w:tcBorders>
            <w:shd w:val="clear" w:color="auto" w:fill="auto"/>
            <w:tcMar>
              <w:top w:w="80" w:type="dxa"/>
              <w:left w:w="80" w:type="dxa"/>
              <w:bottom w:w="80" w:type="dxa"/>
              <w:right w:w="80" w:type="dxa"/>
            </w:tcMar>
          </w:tcPr>
          <w:p w14:paraId="65478FD7" w14:textId="77777777" w:rsidR="00343FB0" w:rsidRPr="00F63DA4" w:rsidRDefault="00343FB0" w:rsidP="00343FB0">
            <w:pPr>
              <w:jc w:val="center"/>
              <w:rPr>
                <w:sz w:val="22"/>
                <w:szCs w:val="22"/>
              </w:rPr>
            </w:pPr>
            <w:r w:rsidRPr="00F63DA4">
              <w:rPr>
                <w:i/>
                <w:iCs/>
                <w:sz w:val="22"/>
                <w:szCs w:val="22"/>
              </w:rPr>
              <w:t>14</w:t>
            </w:r>
          </w:p>
        </w:tc>
        <w:tc>
          <w:tcPr>
            <w:tcW w:w="3780" w:type="dxa"/>
            <w:tcBorders>
              <w:top w:val="nil"/>
              <w:left w:val="nil"/>
              <w:bottom w:val="single" w:sz="4" w:space="0" w:color="000000"/>
              <w:right w:val="nil"/>
            </w:tcBorders>
            <w:shd w:val="clear" w:color="auto" w:fill="auto"/>
            <w:tcMar>
              <w:top w:w="80" w:type="dxa"/>
              <w:left w:w="80" w:type="dxa"/>
              <w:bottom w:w="80" w:type="dxa"/>
              <w:right w:w="80" w:type="dxa"/>
            </w:tcMar>
          </w:tcPr>
          <w:p w14:paraId="0566155C" w14:textId="77777777" w:rsidR="00343FB0" w:rsidRPr="00F63DA4" w:rsidRDefault="00343FB0" w:rsidP="00343FB0">
            <w:pPr>
              <w:jc w:val="center"/>
              <w:rPr>
                <w:i/>
                <w:sz w:val="22"/>
                <w:szCs w:val="22"/>
              </w:rPr>
            </w:pPr>
            <w:r w:rsidRPr="00F63DA4">
              <w:rPr>
                <w:i/>
                <w:sz w:val="22"/>
                <w:szCs w:val="22"/>
              </w:rPr>
              <w:t>0,04</w:t>
            </w:r>
          </w:p>
        </w:tc>
      </w:tr>
    </w:tbl>
    <w:p w14:paraId="255FAEF0" w14:textId="77777777" w:rsidR="00343FB0" w:rsidRPr="008627B9" w:rsidRDefault="00343FB0" w:rsidP="00343FB0">
      <w:pPr>
        <w:rPr>
          <w:sz w:val="20"/>
          <w:szCs w:val="20"/>
        </w:rPr>
      </w:pPr>
      <w:r w:rsidRPr="008627B9">
        <w:rPr>
          <w:i/>
          <w:iCs/>
          <w:sz w:val="20"/>
          <w:szCs w:val="20"/>
        </w:rPr>
        <w:t>Fonte</w:t>
      </w:r>
      <w:r w:rsidR="00636FEC">
        <w:rPr>
          <w:sz w:val="20"/>
          <w:szCs w:val="20"/>
        </w:rPr>
        <w:t>: Sito INEA</w:t>
      </w:r>
      <w:r w:rsidR="00412E5A">
        <w:rPr>
          <w:sz w:val="20"/>
          <w:szCs w:val="20"/>
        </w:rPr>
        <w:t>.</w:t>
      </w:r>
    </w:p>
    <w:p w14:paraId="62C700BB" w14:textId="77777777" w:rsidR="00343FB0" w:rsidRDefault="00343FB0" w:rsidP="00450E48">
      <w:pPr>
        <w:rPr>
          <w:sz w:val="20"/>
          <w:szCs w:val="20"/>
        </w:rPr>
      </w:pPr>
      <w:r w:rsidRPr="008627B9">
        <w:rPr>
          <w:sz w:val="20"/>
          <w:szCs w:val="20"/>
        </w:rPr>
        <w:t xml:space="preserve"> </w:t>
      </w:r>
    </w:p>
    <w:p w14:paraId="0773F415" w14:textId="77777777" w:rsidR="001E0952" w:rsidRPr="008627B9" w:rsidRDefault="001E0952" w:rsidP="00450E48">
      <w:pPr>
        <w:rPr>
          <w:b/>
          <w:bCs/>
        </w:rPr>
      </w:pPr>
    </w:p>
    <w:p w14:paraId="06677D8F" w14:textId="77777777" w:rsidR="00343FB0" w:rsidRPr="00A65C56" w:rsidRDefault="00343FB0" w:rsidP="00343FB0">
      <w:pPr>
        <w:jc w:val="both"/>
        <w:rPr>
          <w:b/>
          <w:bCs/>
          <w:lang w:val="en-US"/>
        </w:rPr>
      </w:pPr>
      <w:r w:rsidRPr="00A65C56">
        <w:rPr>
          <w:b/>
          <w:bCs/>
          <w:lang w:val="en-US"/>
        </w:rPr>
        <w:t>XI.4.4.8 - Bando CEF Transport 2019 A</w:t>
      </w:r>
      <w:r w:rsidR="00514CAB" w:rsidRPr="00A65C56">
        <w:rPr>
          <w:b/>
          <w:bCs/>
          <w:lang w:val="en-US"/>
        </w:rPr>
        <w:t xml:space="preserve">nnual </w:t>
      </w:r>
      <w:proofErr w:type="spellStart"/>
      <w:r w:rsidRPr="00A65C56">
        <w:rPr>
          <w:b/>
          <w:bCs/>
          <w:lang w:val="en-US"/>
        </w:rPr>
        <w:t>P</w:t>
      </w:r>
      <w:r w:rsidR="00514CAB" w:rsidRPr="00A65C56">
        <w:rPr>
          <w:b/>
          <w:bCs/>
          <w:lang w:val="en-US"/>
        </w:rPr>
        <w:t>rogramme</w:t>
      </w:r>
      <w:proofErr w:type="spellEnd"/>
    </w:p>
    <w:p w14:paraId="4B4885B4" w14:textId="77777777" w:rsidR="00514CAB" w:rsidRPr="00A65C56" w:rsidRDefault="00514CAB" w:rsidP="00343FB0">
      <w:pPr>
        <w:jc w:val="both"/>
        <w:rPr>
          <w:b/>
          <w:bCs/>
          <w:lang w:val="en-US"/>
        </w:rPr>
      </w:pPr>
    </w:p>
    <w:p w14:paraId="383E316B" w14:textId="77777777" w:rsidR="00343FB0" w:rsidRPr="008627B9" w:rsidRDefault="00343FB0" w:rsidP="00343FB0">
      <w:pPr>
        <w:ind w:firstLine="709"/>
        <w:jc w:val="both"/>
      </w:pPr>
      <w:r w:rsidRPr="008627B9">
        <w:t xml:space="preserve">Il bando CEF Transport 2019, pubblicato in data 5 dicembre 2018, con dotazione finanziaria pari a 100 milioni di euro sotto forma di sovvenzioni a fondo perduto, prevedeva 65 milioni di euro destinati alla realizzazione di progetti (studi e lavori) concernenti le sezioni transfrontaliere stradali, ferroviarie e di </w:t>
      </w:r>
      <w:r w:rsidRPr="008627B9">
        <w:lastRenderedPageBreak/>
        <w:t xml:space="preserve">navigazione interna ed al miglioramento dell’accessibilità via terra e via mare dei porti marittimi appartenenti alla rete transeuropea dei trasporti di rango globale  nonché al loro sviluppo infrastrutturale, e 35 milioni di euro rivolti ad interventi mirati alla riduzione del rumore ferroviario nel trasporto merci. </w:t>
      </w:r>
    </w:p>
    <w:p w14:paraId="44FAA658" w14:textId="77777777" w:rsidR="00343FB0" w:rsidRPr="008627B9" w:rsidRDefault="00343FB0" w:rsidP="00343FB0">
      <w:pPr>
        <w:ind w:firstLine="709"/>
        <w:jc w:val="both"/>
      </w:pPr>
      <w:r w:rsidRPr="008627B9">
        <w:t>A livello nazionale, sono stati approvati 4 progetti su 6 sottomessi, per una richiesta di co-finanziamento europeo di circa 8,6 milioni di euro pari a circa il 9% delle risorse disponibili sul bando.</w:t>
      </w:r>
    </w:p>
    <w:p w14:paraId="5ECC5AF4" w14:textId="77777777" w:rsidR="00343FB0" w:rsidRPr="008627B9" w:rsidRDefault="00343FB0" w:rsidP="00343FB0">
      <w:pPr>
        <w:ind w:firstLine="709"/>
        <w:jc w:val="both"/>
      </w:pPr>
      <w:r w:rsidRPr="008627B9">
        <w:t xml:space="preserve">Le proposte selezionate </w:t>
      </w:r>
      <w:r w:rsidR="00D544A2">
        <w:t>prevedevano</w:t>
      </w:r>
      <w:r w:rsidRPr="008627B9">
        <w:t xml:space="preserve">: </w:t>
      </w:r>
    </w:p>
    <w:p w14:paraId="60CA2C70" w14:textId="77777777" w:rsidR="00343FB0" w:rsidRPr="008627B9" w:rsidRDefault="00343FB0" w:rsidP="00F63DA4">
      <w:pPr>
        <w:pStyle w:val="Paragrafoelenco"/>
        <w:numPr>
          <w:ilvl w:val="0"/>
          <w:numId w:val="60"/>
        </w:numPr>
        <w:ind w:left="284" w:hanging="284"/>
      </w:pPr>
      <w:proofErr w:type="gramStart"/>
      <w:r w:rsidRPr="008627B9">
        <w:t>2</w:t>
      </w:r>
      <w:proofErr w:type="gramEnd"/>
      <w:r w:rsidRPr="008627B9">
        <w:t xml:space="preserve"> interventi portuali</w:t>
      </w:r>
      <w:r w:rsidR="006F6818">
        <w:t>;</w:t>
      </w:r>
    </w:p>
    <w:p w14:paraId="4717B0CF" w14:textId="77777777" w:rsidR="00343FB0" w:rsidRPr="008627B9" w:rsidRDefault="00343FB0" w:rsidP="00F63DA4">
      <w:pPr>
        <w:pStyle w:val="Paragrafoelenco"/>
        <w:numPr>
          <w:ilvl w:val="0"/>
          <w:numId w:val="60"/>
        </w:numPr>
        <w:ind w:left="284" w:hanging="284"/>
      </w:pPr>
      <w:proofErr w:type="gramStart"/>
      <w:r w:rsidRPr="008627B9">
        <w:t>2</w:t>
      </w:r>
      <w:proofErr w:type="gramEnd"/>
      <w:r w:rsidRPr="008627B9">
        <w:t xml:space="preserve"> interventi finalizzati alla riduzione delle emissioni sonore del traffico ferroviario merci</w:t>
      </w:r>
      <w:r w:rsidR="006F6818">
        <w:t>.</w:t>
      </w:r>
    </w:p>
    <w:p w14:paraId="72E6D328" w14:textId="77777777" w:rsidR="00343FB0" w:rsidRPr="008627B9" w:rsidRDefault="00343FB0" w:rsidP="00343FB0">
      <w:pPr>
        <w:ind w:firstLine="709"/>
        <w:jc w:val="both"/>
      </w:pPr>
    </w:p>
    <w:p w14:paraId="1C3F9D32" w14:textId="77777777" w:rsidR="00343FB0" w:rsidRDefault="00343FB0" w:rsidP="00343FB0">
      <w:pPr>
        <w:ind w:left="284" w:hanging="284"/>
        <w:rPr>
          <w:b/>
          <w:bCs/>
        </w:rPr>
      </w:pPr>
      <w:proofErr w:type="spellStart"/>
      <w:r w:rsidRPr="008627B9">
        <w:rPr>
          <w:b/>
          <w:bCs/>
        </w:rPr>
        <w:t>Tab</w:t>
      </w:r>
      <w:proofErr w:type="spellEnd"/>
      <w:r w:rsidR="001B6714">
        <w:rPr>
          <w:b/>
          <w:bCs/>
        </w:rPr>
        <w:t>.</w:t>
      </w:r>
      <w:r w:rsidRPr="008627B9">
        <w:rPr>
          <w:b/>
          <w:bCs/>
        </w:rPr>
        <w:t xml:space="preserve"> XI.4.4.8.1 - Sintesi Bando CEF </w:t>
      </w:r>
      <w:proofErr w:type="spellStart"/>
      <w:r w:rsidRPr="008627B9">
        <w:rPr>
          <w:b/>
          <w:bCs/>
        </w:rPr>
        <w:t>Transport</w:t>
      </w:r>
      <w:proofErr w:type="spellEnd"/>
      <w:r w:rsidRPr="008627B9">
        <w:rPr>
          <w:b/>
          <w:bCs/>
        </w:rPr>
        <w:t xml:space="preserve"> 2019</w:t>
      </w:r>
    </w:p>
    <w:p w14:paraId="4F7E3DC9" w14:textId="77777777" w:rsidR="001E0952" w:rsidRPr="008627B9" w:rsidRDefault="001E0952" w:rsidP="00343FB0">
      <w:pPr>
        <w:ind w:left="284" w:hanging="284"/>
        <w:rPr>
          <w:b/>
          <w:bCs/>
        </w:rPr>
      </w:pPr>
    </w:p>
    <w:tbl>
      <w:tblPr>
        <w:tblStyle w:val="TableNormal1"/>
        <w:tblW w:w="1020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26"/>
        <w:gridCol w:w="2125"/>
        <w:gridCol w:w="1989"/>
        <w:gridCol w:w="3866"/>
      </w:tblGrid>
      <w:tr w:rsidR="00343FB0" w:rsidRPr="00C609A1" w14:paraId="088D68A6" w14:textId="77777777" w:rsidTr="00343FB0">
        <w:trPr>
          <w:trHeight w:val="166"/>
          <w:jc w:val="center"/>
        </w:trPr>
        <w:tc>
          <w:tcPr>
            <w:tcW w:w="225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91531D2" w14:textId="77777777" w:rsidR="00343FB0" w:rsidRPr="00F63DA4" w:rsidRDefault="00343FB0" w:rsidP="00343FB0">
            <w:pPr>
              <w:rPr>
                <w:sz w:val="22"/>
                <w:szCs w:val="22"/>
              </w:rPr>
            </w:pPr>
          </w:p>
        </w:tc>
        <w:tc>
          <w:tcPr>
            <w:tcW w:w="215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D250B0B" w14:textId="77777777" w:rsidR="00343FB0" w:rsidRPr="00F63DA4" w:rsidRDefault="00343FB0" w:rsidP="00343FB0">
            <w:pPr>
              <w:jc w:val="both"/>
              <w:rPr>
                <w:sz w:val="22"/>
                <w:szCs w:val="22"/>
              </w:rPr>
            </w:pPr>
            <w:r w:rsidRPr="00F63DA4">
              <w:rPr>
                <w:b/>
                <w:bCs/>
                <w:sz w:val="22"/>
                <w:szCs w:val="22"/>
              </w:rPr>
              <w:t>Domande ricevute</w:t>
            </w:r>
          </w:p>
        </w:tc>
        <w:tc>
          <w:tcPr>
            <w:tcW w:w="201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125A953" w14:textId="77777777" w:rsidR="00343FB0" w:rsidRPr="00F63DA4" w:rsidRDefault="00343FB0" w:rsidP="00343FB0">
            <w:pPr>
              <w:jc w:val="both"/>
              <w:rPr>
                <w:sz w:val="22"/>
                <w:szCs w:val="22"/>
              </w:rPr>
            </w:pPr>
            <w:r w:rsidRPr="00F63DA4">
              <w:rPr>
                <w:b/>
                <w:bCs/>
                <w:sz w:val="22"/>
                <w:szCs w:val="22"/>
              </w:rPr>
              <w:t>Azioni finanziate</w:t>
            </w:r>
          </w:p>
        </w:tc>
        <w:tc>
          <w:tcPr>
            <w:tcW w:w="3913"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DD803C" w14:textId="77777777" w:rsidR="00343FB0" w:rsidRPr="00F63DA4" w:rsidRDefault="00343FB0" w:rsidP="00343FB0">
            <w:pPr>
              <w:jc w:val="center"/>
              <w:rPr>
                <w:sz w:val="22"/>
                <w:szCs w:val="22"/>
              </w:rPr>
            </w:pPr>
            <w:r w:rsidRPr="00F63DA4">
              <w:rPr>
                <w:b/>
                <w:bCs/>
                <w:sz w:val="22"/>
                <w:szCs w:val="22"/>
              </w:rPr>
              <w:t>Supporto CEF (miliardi €)</w:t>
            </w:r>
          </w:p>
        </w:tc>
      </w:tr>
      <w:tr w:rsidR="00343FB0" w:rsidRPr="00C609A1" w14:paraId="484ACD68" w14:textId="77777777" w:rsidTr="00343FB0">
        <w:trPr>
          <w:trHeight w:val="17"/>
          <w:jc w:val="center"/>
        </w:trPr>
        <w:tc>
          <w:tcPr>
            <w:tcW w:w="2252" w:type="dxa"/>
            <w:tcBorders>
              <w:top w:val="single" w:sz="4" w:space="0" w:color="000000"/>
              <w:left w:val="nil"/>
              <w:bottom w:val="nil"/>
              <w:right w:val="nil"/>
            </w:tcBorders>
            <w:shd w:val="clear" w:color="auto" w:fill="auto"/>
            <w:tcMar>
              <w:top w:w="80" w:type="dxa"/>
              <w:left w:w="80" w:type="dxa"/>
              <w:bottom w:w="80" w:type="dxa"/>
              <w:right w:w="80" w:type="dxa"/>
            </w:tcMar>
          </w:tcPr>
          <w:p w14:paraId="33F45CAE" w14:textId="77777777" w:rsidR="00343FB0" w:rsidRPr="00F63DA4" w:rsidRDefault="00343FB0" w:rsidP="00343FB0">
            <w:pPr>
              <w:rPr>
                <w:b/>
                <w:sz w:val="22"/>
                <w:szCs w:val="22"/>
              </w:rPr>
            </w:pPr>
            <w:r w:rsidRPr="00F63DA4">
              <w:rPr>
                <w:b/>
                <w:sz w:val="22"/>
                <w:szCs w:val="22"/>
              </w:rPr>
              <w:t xml:space="preserve">Totali </w:t>
            </w:r>
          </w:p>
        </w:tc>
        <w:tc>
          <w:tcPr>
            <w:tcW w:w="2150" w:type="dxa"/>
            <w:tcBorders>
              <w:top w:val="single" w:sz="4" w:space="0" w:color="000000"/>
              <w:left w:val="nil"/>
              <w:bottom w:val="nil"/>
              <w:right w:val="nil"/>
            </w:tcBorders>
            <w:shd w:val="clear" w:color="auto" w:fill="auto"/>
            <w:tcMar>
              <w:top w:w="80" w:type="dxa"/>
              <w:left w:w="80" w:type="dxa"/>
              <w:bottom w:w="80" w:type="dxa"/>
              <w:right w:w="80" w:type="dxa"/>
            </w:tcMar>
          </w:tcPr>
          <w:p w14:paraId="409457C7" w14:textId="77777777" w:rsidR="00343FB0" w:rsidRPr="00F63DA4" w:rsidRDefault="00343FB0" w:rsidP="00343FB0">
            <w:pPr>
              <w:jc w:val="center"/>
              <w:rPr>
                <w:b/>
                <w:sz w:val="22"/>
                <w:szCs w:val="22"/>
              </w:rPr>
            </w:pPr>
            <w:r w:rsidRPr="00F63DA4">
              <w:rPr>
                <w:b/>
                <w:sz w:val="22"/>
                <w:szCs w:val="22"/>
              </w:rPr>
              <w:t>69</w:t>
            </w:r>
          </w:p>
        </w:tc>
        <w:tc>
          <w:tcPr>
            <w:tcW w:w="2012" w:type="dxa"/>
            <w:tcBorders>
              <w:top w:val="single" w:sz="4" w:space="0" w:color="000000"/>
              <w:left w:val="nil"/>
              <w:bottom w:val="nil"/>
              <w:right w:val="nil"/>
            </w:tcBorders>
            <w:shd w:val="clear" w:color="auto" w:fill="auto"/>
            <w:tcMar>
              <w:top w:w="80" w:type="dxa"/>
              <w:left w:w="80" w:type="dxa"/>
              <w:bottom w:w="80" w:type="dxa"/>
              <w:right w:w="80" w:type="dxa"/>
            </w:tcMar>
          </w:tcPr>
          <w:p w14:paraId="15F83B99" w14:textId="77777777" w:rsidR="00343FB0" w:rsidRPr="00F63DA4" w:rsidRDefault="00343FB0" w:rsidP="00343FB0">
            <w:pPr>
              <w:jc w:val="center"/>
              <w:rPr>
                <w:b/>
                <w:sz w:val="22"/>
                <w:szCs w:val="22"/>
              </w:rPr>
            </w:pPr>
            <w:r w:rsidRPr="00F63DA4">
              <w:rPr>
                <w:b/>
                <w:sz w:val="22"/>
                <w:szCs w:val="22"/>
              </w:rPr>
              <w:t>39</w:t>
            </w:r>
          </w:p>
        </w:tc>
        <w:tc>
          <w:tcPr>
            <w:tcW w:w="3913" w:type="dxa"/>
            <w:tcBorders>
              <w:top w:val="single" w:sz="4" w:space="0" w:color="000000"/>
              <w:left w:val="nil"/>
              <w:bottom w:val="nil"/>
              <w:right w:val="nil"/>
            </w:tcBorders>
            <w:shd w:val="clear" w:color="auto" w:fill="auto"/>
            <w:tcMar>
              <w:top w:w="80" w:type="dxa"/>
              <w:left w:w="80" w:type="dxa"/>
              <w:bottom w:w="80" w:type="dxa"/>
              <w:right w:w="80" w:type="dxa"/>
            </w:tcMar>
          </w:tcPr>
          <w:p w14:paraId="6F1308F0" w14:textId="77777777" w:rsidR="00343FB0" w:rsidRPr="00F63DA4" w:rsidRDefault="00343FB0" w:rsidP="00343FB0">
            <w:pPr>
              <w:jc w:val="center"/>
              <w:rPr>
                <w:b/>
                <w:sz w:val="22"/>
                <w:szCs w:val="22"/>
              </w:rPr>
            </w:pPr>
            <w:r w:rsidRPr="00F63DA4">
              <w:rPr>
                <w:b/>
                <w:sz w:val="22"/>
                <w:szCs w:val="22"/>
              </w:rPr>
              <w:t>0,10</w:t>
            </w:r>
            <w:r w:rsidR="00D544A2">
              <w:rPr>
                <w:b/>
                <w:sz w:val="22"/>
                <w:szCs w:val="22"/>
              </w:rPr>
              <w:t>0</w:t>
            </w:r>
          </w:p>
        </w:tc>
      </w:tr>
      <w:tr w:rsidR="00343FB0" w:rsidRPr="00C609A1" w14:paraId="04012631" w14:textId="77777777" w:rsidTr="00343FB0">
        <w:trPr>
          <w:trHeight w:val="305"/>
          <w:jc w:val="center"/>
        </w:trPr>
        <w:tc>
          <w:tcPr>
            <w:tcW w:w="2252" w:type="dxa"/>
            <w:tcBorders>
              <w:top w:val="nil"/>
              <w:left w:val="nil"/>
              <w:bottom w:val="single" w:sz="4" w:space="0" w:color="000000"/>
              <w:right w:val="nil"/>
            </w:tcBorders>
            <w:shd w:val="clear" w:color="auto" w:fill="auto"/>
            <w:tcMar>
              <w:top w:w="80" w:type="dxa"/>
              <w:left w:w="80" w:type="dxa"/>
              <w:bottom w:w="80" w:type="dxa"/>
              <w:right w:w="80" w:type="dxa"/>
            </w:tcMar>
          </w:tcPr>
          <w:p w14:paraId="78B6F01C" w14:textId="77777777" w:rsidR="00343FB0" w:rsidRPr="00F63DA4" w:rsidRDefault="00343FB0" w:rsidP="00343FB0">
            <w:pPr>
              <w:rPr>
                <w:sz w:val="22"/>
                <w:szCs w:val="22"/>
              </w:rPr>
            </w:pPr>
            <w:r w:rsidRPr="00F63DA4">
              <w:rPr>
                <w:i/>
                <w:iCs/>
                <w:sz w:val="22"/>
                <w:szCs w:val="22"/>
              </w:rPr>
              <w:t>di cui ITA</w:t>
            </w:r>
          </w:p>
        </w:tc>
        <w:tc>
          <w:tcPr>
            <w:tcW w:w="2150" w:type="dxa"/>
            <w:tcBorders>
              <w:top w:val="nil"/>
              <w:left w:val="nil"/>
              <w:bottom w:val="single" w:sz="4" w:space="0" w:color="000000"/>
              <w:right w:val="nil"/>
            </w:tcBorders>
            <w:shd w:val="clear" w:color="auto" w:fill="auto"/>
            <w:tcMar>
              <w:top w:w="80" w:type="dxa"/>
              <w:left w:w="80" w:type="dxa"/>
              <w:bottom w:w="80" w:type="dxa"/>
              <w:right w:w="80" w:type="dxa"/>
            </w:tcMar>
          </w:tcPr>
          <w:p w14:paraId="1D266081" w14:textId="77777777" w:rsidR="00343FB0" w:rsidRPr="00F63DA4" w:rsidRDefault="00343FB0" w:rsidP="00343FB0">
            <w:pPr>
              <w:jc w:val="center"/>
              <w:rPr>
                <w:sz w:val="22"/>
                <w:szCs w:val="22"/>
              </w:rPr>
            </w:pPr>
            <w:r w:rsidRPr="00F63DA4">
              <w:rPr>
                <w:i/>
                <w:iCs/>
                <w:sz w:val="22"/>
                <w:szCs w:val="22"/>
              </w:rPr>
              <w:t>6</w:t>
            </w:r>
          </w:p>
        </w:tc>
        <w:tc>
          <w:tcPr>
            <w:tcW w:w="2012" w:type="dxa"/>
            <w:tcBorders>
              <w:top w:val="nil"/>
              <w:left w:val="nil"/>
              <w:bottom w:val="single" w:sz="4" w:space="0" w:color="000000"/>
              <w:right w:val="nil"/>
            </w:tcBorders>
            <w:shd w:val="clear" w:color="auto" w:fill="auto"/>
            <w:tcMar>
              <w:top w:w="80" w:type="dxa"/>
              <w:left w:w="80" w:type="dxa"/>
              <w:bottom w:w="80" w:type="dxa"/>
              <w:right w:w="80" w:type="dxa"/>
            </w:tcMar>
          </w:tcPr>
          <w:p w14:paraId="6450F1EE" w14:textId="77777777" w:rsidR="00343FB0" w:rsidRPr="00F63DA4" w:rsidRDefault="00343FB0" w:rsidP="00343FB0">
            <w:pPr>
              <w:jc w:val="center"/>
              <w:rPr>
                <w:strike/>
                <w:sz w:val="22"/>
                <w:szCs w:val="22"/>
              </w:rPr>
            </w:pPr>
            <w:r w:rsidRPr="00F63DA4">
              <w:rPr>
                <w:i/>
                <w:iCs/>
                <w:strike/>
                <w:sz w:val="22"/>
                <w:szCs w:val="22"/>
              </w:rPr>
              <w:t>4</w:t>
            </w:r>
          </w:p>
        </w:tc>
        <w:tc>
          <w:tcPr>
            <w:tcW w:w="3913" w:type="dxa"/>
            <w:tcBorders>
              <w:top w:val="nil"/>
              <w:left w:val="nil"/>
              <w:bottom w:val="single" w:sz="4" w:space="0" w:color="000000"/>
              <w:right w:val="nil"/>
            </w:tcBorders>
            <w:shd w:val="clear" w:color="auto" w:fill="auto"/>
            <w:tcMar>
              <w:top w:w="80" w:type="dxa"/>
              <w:left w:w="80" w:type="dxa"/>
              <w:bottom w:w="80" w:type="dxa"/>
              <w:right w:w="80" w:type="dxa"/>
            </w:tcMar>
          </w:tcPr>
          <w:p w14:paraId="105E12BA" w14:textId="77777777" w:rsidR="00343FB0" w:rsidRPr="00F63DA4" w:rsidRDefault="00343FB0" w:rsidP="00343FB0">
            <w:pPr>
              <w:jc w:val="center"/>
              <w:rPr>
                <w:i/>
                <w:sz w:val="22"/>
                <w:szCs w:val="22"/>
              </w:rPr>
            </w:pPr>
            <w:r w:rsidRPr="00F63DA4">
              <w:rPr>
                <w:i/>
                <w:sz w:val="22"/>
                <w:szCs w:val="22"/>
              </w:rPr>
              <w:t>0,008</w:t>
            </w:r>
          </w:p>
        </w:tc>
      </w:tr>
    </w:tbl>
    <w:p w14:paraId="3B22D741" w14:textId="77777777" w:rsidR="00343FB0" w:rsidRPr="008627B9" w:rsidRDefault="00343FB0" w:rsidP="00343FB0">
      <w:pPr>
        <w:rPr>
          <w:sz w:val="20"/>
          <w:szCs w:val="20"/>
        </w:rPr>
      </w:pPr>
      <w:r w:rsidRPr="008627B9">
        <w:rPr>
          <w:i/>
          <w:iCs/>
          <w:sz w:val="20"/>
          <w:szCs w:val="20"/>
        </w:rPr>
        <w:t>Fonte</w:t>
      </w:r>
      <w:r w:rsidR="00636FEC">
        <w:rPr>
          <w:sz w:val="20"/>
          <w:szCs w:val="20"/>
        </w:rPr>
        <w:t>: Sito INEA</w:t>
      </w:r>
      <w:r w:rsidR="001E0952">
        <w:rPr>
          <w:sz w:val="20"/>
          <w:szCs w:val="20"/>
        </w:rPr>
        <w:t>.</w:t>
      </w:r>
    </w:p>
    <w:p w14:paraId="42A8ADF5" w14:textId="77777777" w:rsidR="00343FB0" w:rsidRDefault="00343FB0" w:rsidP="00514CAB">
      <w:pPr>
        <w:rPr>
          <w:b/>
          <w:bCs/>
        </w:rPr>
      </w:pPr>
    </w:p>
    <w:p w14:paraId="5C266592" w14:textId="77777777" w:rsidR="001E0952" w:rsidRPr="008627B9" w:rsidRDefault="001E0952" w:rsidP="00514CAB">
      <w:pPr>
        <w:rPr>
          <w:b/>
          <w:bCs/>
        </w:rPr>
      </w:pPr>
    </w:p>
    <w:p w14:paraId="48137C83" w14:textId="77777777" w:rsidR="00343FB0" w:rsidRDefault="00343FB0" w:rsidP="00343FB0">
      <w:pPr>
        <w:jc w:val="both"/>
        <w:rPr>
          <w:b/>
          <w:bCs/>
          <w:lang w:val="en-US"/>
        </w:rPr>
      </w:pPr>
      <w:r w:rsidRPr="008627B9">
        <w:rPr>
          <w:b/>
          <w:bCs/>
          <w:lang w:val="en-US"/>
        </w:rPr>
        <w:t>XI.4.4.9 - Bando CEF Transport 2019 “</w:t>
      </w:r>
      <w:r w:rsidRPr="00450E48">
        <w:rPr>
          <w:b/>
          <w:bCs/>
          <w:i/>
          <w:lang w:val="en-US"/>
        </w:rPr>
        <w:t>Reflow call</w:t>
      </w:r>
      <w:r w:rsidRPr="008627B9">
        <w:rPr>
          <w:b/>
          <w:bCs/>
          <w:lang w:val="en-US"/>
        </w:rPr>
        <w:t>”</w:t>
      </w:r>
    </w:p>
    <w:p w14:paraId="2E9C8BB3" w14:textId="77777777" w:rsidR="00514CAB" w:rsidRPr="008627B9" w:rsidRDefault="00514CAB" w:rsidP="00343FB0">
      <w:pPr>
        <w:jc w:val="both"/>
        <w:rPr>
          <w:b/>
          <w:bCs/>
          <w:lang w:val="en-US"/>
        </w:rPr>
      </w:pPr>
    </w:p>
    <w:p w14:paraId="46A83143" w14:textId="77777777" w:rsidR="00343FB0" w:rsidRPr="008627B9" w:rsidRDefault="00343FB0" w:rsidP="00343FB0">
      <w:pPr>
        <w:ind w:firstLine="709"/>
        <w:jc w:val="both"/>
      </w:pPr>
      <w:r w:rsidRPr="008627B9">
        <w:t xml:space="preserve">Il bando CEF </w:t>
      </w:r>
      <w:proofErr w:type="spellStart"/>
      <w:r w:rsidRPr="008627B9">
        <w:t>Transport</w:t>
      </w:r>
      <w:proofErr w:type="spellEnd"/>
      <w:r w:rsidRPr="008627B9">
        <w:t xml:space="preserve"> 2019, denominato “</w:t>
      </w:r>
      <w:proofErr w:type="spellStart"/>
      <w:r w:rsidRPr="00450E48">
        <w:rPr>
          <w:i/>
        </w:rPr>
        <w:t>Reflow</w:t>
      </w:r>
      <w:proofErr w:type="spellEnd"/>
      <w:r w:rsidRPr="00450E48">
        <w:rPr>
          <w:i/>
        </w:rPr>
        <w:t xml:space="preserve"> Call</w:t>
      </w:r>
      <w:r w:rsidRPr="008627B9">
        <w:t xml:space="preserve">”, pubblicato il 16 ottobre 2019, ha messo a disposizione 1,4 miliardi di euro sotto forma di sovvenzioni a fondo perduto, come riportato nella Tab.XI.4.4.9.1, destinati a progetti </w:t>
      </w:r>
      <w:proofErr w:type="spellStart"/>
      <w:r w:rsidRPr="008627B9">
        <w:t>pre</w:t>
      </w:r>
      <w:proofErr w:type="spellEnd"/>
      <w:r w:rsidR="00D544A2">
        <w:t>-</w:t>
      </w:r>
      <w:r w:rsidRPr="008627B9">
        <w:t>identificati sui Corridoi e su altre sezioni della rete centrale quali ferrovie, vie navigabili interne, strade, porti marittimi e interni, ai prototipi di bordo per il sistema ERTMS, alla sicurezza delle aree di sosta lungo le strade della rete centrale, ai servizi cooperativi per il trasporto intelligente su strada (C-ITS), al Cielo Unico Europeo – SESAR, ai nodi della rete centrale, inclusi i nodi urbani ed alle Autostrade del Mare.</w:t>
      </w:r>
      <w:r w:rsidR="006A564B">
        <w:t xml:space="preserve"> </w:t>
      </w:r>
    </w:p>
    <w:p w14:paraId="3D76AC02" w14:textId="77777777" w:rsidR="00343FB0" w:rsidRPr="008627B9" w:rsidRDefault="00343FB0" w:rsidP="00343FB0">
      <w:pPr>
        <w:ind w:firstLine="709"/>
        <w:jc w:val="both"/>
      </w:pPr>
    </w:p>
    <w:p w14:paraId="0CB1AC4F" w14:textId="77777777" w:rsidR="00343FB0" w:rsidRDefault="00343FB0" w:rsidP="00343FB0">
      <w:pPr>
        <w:ind w:left="284" w:hanging="284"/>
        <w:rPr>
          <w:b/>
          <w:bCs/>
        </w:rPr>
      </w:pPr>
      <w:proofErr w:type="spellStart"/>
      <w:r w:rsidRPr="008627B9">
        <w:rPr>
          <w:b/>
          <w:bCs/>
        </w:rPr>
        <w:t>Tab</w:t>
      </w:r>
      <w:proofErr w:type="spellEnd"/>
      <w:r w:rsidRPr="008627B9">
        <w:rPr>
          <w:b/>
          <w:bCs/>
        </w:rPr>
        <w:t>. XI.4.4.9.1 - Dotazione finanziaria Bando CEF 2019 “</w:t>
      </w:r>
      <w:proofErr w:type="spellStart"/>
      <w:r w:rsidRPr="00450E48">
        <w:rPr>
          <w:b/>
          <w:bCs/>
          <w:i/>
        </w:rPr>
        <w:t>Reflow</w:t>
      </w:r>
      <w:proofErr w:type="spellEnd"/>
      <w:r w:rsidRPr="00450E48">
        <w:rPr>
          <w:b/>
          <w:bCs/>
          <w:i/>
        </w:rPr>
        <w:t xml:space="preserve"> call</w:t>
      </w:r>
      <w:r w:rsidRPr="008627B9">
        <w:rPr>
          <w:b/>
          <w:bCs/>
        </w:rPr>
        <w:t>”</w:t>
      </w:r>
    </w:p>
    <w:p w14:paraId="172C158A" w14:textId="77777777" w:rsidR="001E0952" w:rsidRPr="008627B9" w:rsidRDefault="001E0952" w:rsidP="00343FB0">
      <w:pPr>
        <w:ind w:left="284" w:hanging="284"/>
        <w:rPr>
          <w:b/>
          <w:bCs/>
        </w:rPr>
      </w:pPr>
    </w:p>
    <w:tbl>
      <w:tblPr>
        <w:tblStyle w:val="TableNormal1"/>
        <w:tblW w:w="102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545"/>
        <w:gridCol w:w="3661"/>
      </w:tblGrid>
      <w:tr w:rsidR="00343FB0" w:rsidRPr="00C609A1" w14:paraId="060FBC0D" w14:textId="77777777" w:rsidTr="00343FB0">
        <w:trPr>
          <w:trHeight w:hRule="exact" w:val="340"/>
        </w:trPr>
        <w:tc>
          <w:tcPr>
            <w:tcW w:w="654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1430383" w14:textId="77777777" w:rsidR="00343FB0" w:rsidRPr="00F63DA4" w:rsidRDefault="00343FB0" w:rsidP="00343FB0">
            <w:pPr>
              <w:jc w:val="both"/>
              <w:rPr>
                <w:sz w:val="22"/>
                <w:szCs w:val="22"/>
              </w:rPr>
            </w:pPr>
            <w:r w:rsidRPr="00F63DA4">
              <w:rPr>
                <w:b/>
                <w:bCs/>
                <w:sz w:val="22"/>
                <w:szCs w:val="22"/>
              </w:rPr>
              <w:t>Bando</w:t>
            </w:r>
          </w:p>
        </w:tc>
        <w:tc>
          <w:tcPr>
            <w:tcW w:w="366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2EA6ACA" w14:textId="77777777" w:rsidR="00343FB0" w:rsidRPr="00F63DA4" w:rsidRDefault="00343FB0" w:rsidP="00343FB0">
            <w:pPr>
              <w:jc w:val="both"/>
              <w:rPr>
                <w:sz w:val="22"/>
                <w:szCs w:val="22"/>
              </w:rPr>
            </w:pPr>
            <w:r w:rsidRPr="00F63DA4">
              <w:rPr>
                <w:b/>
                <w:bCs/>
                <w:sz w:val="22"/>
                <w:szCs w:val="22"/>
              </w:rPr>
              <w:t>Budget call (miliardi €)</w:t>
            </w:r>
          </w:p>
        </w:tc>
      </w:tr>
      <w:tr w:rsidR="00343FB0" w:rsidRPr="00C609A1" w14:paraId="5523124E" w14:textId="77777777" w:rsidTr="00343FB0">
        <w:trPr>
          <w:trHeight w:val="375"/>
        </w:trPr>
        <w:tc>
          <w:tcPr>
            <w:tcW w:w="6545" w:type="dxa"/>
            <w:tcBorders>
              <w:top w:val="single" w:sz="4" w:space="0" w:color="000000"/>
              <w:left w:val="nil"/>
              <w:bottom w:val="nil"/>
              <w:right w:val="nil"/>
            </w:tcBorders>
            <w:shd w:val="clear" w:color="auto" w:fill="auto"/>
            <w:tcMar>
              <w:top w:w="80" w:type="dxa"/>
              <w:left w:w="80" w:type="dxa"/>
              <w:bottom w:w="80" w:type="dxa"/>
              <w:right w:w="80" w:type="dxa"/>
            </w:tcMar>
          </w:tcPr>
          <w:p w14:paraId="24ADEB15" w14:textId="77777777" w:rsidR="00343FB0" w:rsidRPr="00450E48" w:rsidRDefault="00343FB0" w:rsidP="00706961">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00D544A2" w:rsidRPr="00450E48">
              <w:rPr>
                <w:i/>
                <w:lang w:val="en-US"/>
              </w:rPr>
              <w:t>Funding Objective</w:t>
            </w:r>
            <w:r w:rsidRPr="00450E48">
              <w:rPr>
                <w:sz w:val="22"/>
                <w:szCs w:val="22"/>
                <w:lang w:val="en-US"/>
              </w:rPr>
              <w:t xml:space="preserve"> 1-2-3)</w:t>
            </w:r>
          </w:p>
        </w:tc>
        <w:tc>
          <w:tcPr>
            <w:tcW w:w="3661" w:type="dxa"/>
            <w:tcBorders>
              <w:top w:val="single" w:sz="4" w:space="0" w:color="000000"/>
              <w:left w:val="nil"/>
              <w:bottom w:val="nil"/>
              <w:right w:val="nil"/>
            </w:tcBorders>
            <w:shd w:val="clear" w:color="auto" w:fill="auto"/>
            <w:tcMar>
              <w:top w:w="80" w:type="dxa"/>
              <w:left w:w="80" w:type="dxa"/>
              <w:bottom w:w="80" w:type="dxa"/>
              <w:right w:w="80" w:type="dxa"/>
            </w:tcMar>
          </w:tcPr>
          <w:p w14:paraId="3F204C7C" w14:textId="77777777" w:rsidR="00343FB0" w:rsidRPr="00F63DA4" w:rsidRDefault="00343FB0" w:rsidP="00343FB0">
            <w:pPr>
              <w:jc w:val="center"/>
              <w:rPr>
                <w:sz w:val="22"/>
                <w:szCs w:val="22"/>
              </w:rPr>
            </w:pPr>
            <w:r w:rsidRPr="00F63DA4">
              <w:rPr>
                <w:sz w:val="22"/>
                <w:szCs w:val="22"/>
              </w:rPr>
              <w:t>0,75</w:t>
            </w:r>
          </w:p>
        </w:tc>
      </w:tr>
      <w:tr w:rsidR="00343FB0" w:rsidRPr="00C609A1" w14:paraId="43F9CE1C" w14:textId="77777777" w:rsidTr="00343FB0">
        <w:trPr>
          <w:trHeight w:val="375"/>
        </w:trPr>
        <w:tc>
          <w:tcPr>
            <w:tcW w:w="6545" w:type="dxa"/>
            <w:tcBorders>
              <w:top w:val="nil"/>
              <w:left w:val="nil"/>
              <w:bottom w:val="nil"/>
              <w:right w:val="nil"/>
            </w:tcBorders>
            <w:shd w:val="clear" w:color="auto" w:fill="auto"/>
            <w:tcMar>
              <w:top w:w="80" w:type="dxa"/>
              <w:left w:w="80" w:type="dxa"/>
              <w:bottom w:w="80" w:type="dxa"/>
              <w:right w:w="80" w:type="dxa"/>
            </w:tcMar>
          </w:tcPr>
          <w:p w14:paraId="3D820B55" w14:textId="77777777" w:rsidR="00343FB0" w:rsidRPr="00450E48" w:rsidRDefault="00343FB0" w:rsidP="00343FB0">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Cohesion envelope</w:t>
            </w:r>
            <w:r w:rsidRPr="00450E48">
              <w:rPr>
                <w:sz w:val="22"/>
                <w:szCs w:val="22"/>
                <w:lang w:val="en-US"/>
              </w:rPr>
              <w:t xml:space="preserve"> (</w:t>
            </w:r>
            <w:r w:rsidR="00D544A2" w:rsidRPr="00B340E0">
              <w:rPr>
                <w:i/>
                <w:lang w:val="en-US"/>
              </w:rPr>
              <w:t>Funding Objective</w:t>
            </w:r>
            <w:r w:rsidRPr="00450E48">
              <w:rPr>
                <w:sz w:val="22"/>
                <w:szCs w:val="22"/>
                <w:lang w:val="en-US"/>
              </w:rPr>
              <w:t xml:space="preserve"> 1-2)</w:t>
            </w:r>
          </w:p>
        </w:tc>
        <w:tc>
          <w:tcPr>
            <w:tcW w:w="3661" w:type="dxa"/>
            <w:tcBorders>
              <w:top w:val="nil"/>
              <w:left w:val="nil"/>
              <w:bottom w:val="nil"/>
              <w:right w:val="nil"/>
            </w:tcBorders>
            <w:shd w:val="clear" w:color="auto" w:fill="auto"/>
            <w:tcMar>
              <w:top w:w="80" w:type="dxa"/>
              <w:left w:w="80" w:type="dxa"/>
              <w:bottom w:w="80" w:type="dxa"/>
              <w:right w:w="80" w:type="dxa"/>
            </w:tcMar>
          </w:tcPr>
          <w:p w14:paraId="40F9A348" w14:textId="77777777" w:rsidR="00343FB0" w:rsidRPr="00F63DA4" w:rsidRDefault="00343FB0" w:rsidP="00343FB0">
            <w:pPr>
              <w:jc w:val="center"/>
              <w:rPr>
                <w:sz w:val="22"/>
                <w:szCs w:val="22"/>
              </w:rPr>
            </w:pPr>
            <w:r w:rsidRPr="00F63DA4">
              <w:rPr>
                <w:sz w:val="22"/>
                <w:szCs w:val="22"/>
              </w:rPr>
              <w:t>0,65</w:t>
            </w:r>
          </w:p>
        </w:tc>
      </w:tr>
      <w:tr w:rsidR="00343FB0" w:rsidRPr="00C609A1" w14:paraId="1A0CD7B5" w14:textId="77777777" w:rsidTr="00343FB0">
        <w:trPr>
          <w:trHeight w:hRule="exact" w:val="340"/>
        </w:trPr>
        <w:tc>
          <w:tcPr>
            <w:tcW w:w="654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164D08D" w14:textId="77777777" w:rsidR="00343FB0" w:rsidRPr="00F63DA4" w:rsidRDefault="00343FB0" w:rsidP="00343FB0">
            <w:pPr>
              <w:jc w:val="both"/>
              <w:rPr>
                <w:sz w:val="22"/>
                <w:szCs w:val="22"/>
              </w:rPr>
            </w:pPr>
            <w:r w:rsidRPr="00F63DA4">
              <w:rPr>
                <w:b/>
                <w:bCs/>
                <w:sz w:val="22"/>
                <w:szCs w:val="22"/>
              </w:rPr>
              <w:t>Totale</w:t>
            </w:r>
          </w:p>
        </w:tc>
        <w:tc>
          <w:tcPr>
            <w:tcW w:w="366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3A19CE4" w14:textId="77777777" w:rsidR="00343FB0" w:rsidRPr="00F63DA4" w:rsidRDefault="00343FB0" w:rsidP="00343FB0">
            <w:pPr>
              <w:jc w:val="center"/>
              <w:rPr>
                <w:sz w:val="22"/>
                <w:szCs w:val="22"/>
              </w:rPr>
            </w:pPr>
            <w:r w:rsidRPr="00F63DA4">
              <w:rPr>
                <w:b/>
                <w:bCs/>
                <w:sz w:val="22"/>
                <w:szCs w:val="22"/>
              </w:rPr>
              <w:t>1,40</w:t>
            </w:r>
          </w:p>
        </w:tc>
      </w:tr>
    </w:tbl>
    <w:p w14:paraId="79BBFE69" w14:textId="77777777" w:rsidR="00343FB0" w:rsidRPr="008627B9" w:rsidRDefault="00343FB0" w:rsidP="00343FB0">
      <w:pPr>
        <w:rPr>
          <w:sz w:val="18"/>
          <w:szCs w:val="18"/>
        </w:rPr>
      </w:pPr>
      <w:r w:rsidRPr="008627B9">
        <w:rPr>
          <w:i/>
          <w:iCs/>
          <w:sz w:val="18"/>
          <w:szCs w:val="18"/>
        </w:rPr>
        <w:t>Fonte</w:t>
      </w:r>
      <w:r w:rsidRPr="008627B9">
        <w:rPr>
          <w:sz w:val="18"/>
          <w:szCs w:val="18"/>
        </w:rPr>
        <w:t>: Sito INEA</w:t>
      </w:r>
      <w:r w:rsidR="001E0952">
        <w:rPr>
          <w:sz w:val="18"/>
          <w:szCs w:val="18"/>
        </w:rPr>
        <w:t>.</w:t>
      </w:r>
      <w:r w:rsidRPr="008627B9">
        <w:rPr>
          <w:sz w:val="18"/>
          <w:szCs w:val="18"/>
        </w:rPr>
        <w:t xml:space="preserve"> </w:t>
      </w:r>
    </w:p>
    <w:p w14:paraId="3C1C032C" w14:textId="77777777" w:rsidR="00343FB0" w:rsidRPr="008627B9" w:rsidRDefault="00343FB0" w:rsidP="00343FB0">
      <w:pPr>
        <w:ind w:hanging="142"/>
      </w:pPr>
    </w:p>
    <w:p w14:paraId="19B280BC" w14:textId="77777777" w:rsidR="00343FB0" w:rsidRPr="008627B9" w:rsidRDefault="00343FB0" w:rsidP="00343FB0">
      <w:pPr>
        <w:ind w:firstLine="709"/>
      </w:pPr>
      <w:r w:rsidRPr="008627B9">
        <w:t xml:space="preserve">La valutazione delle proposte presentate al bando CEF Transport 2019 è tuttora in corso e gli esiti sono previsti indicativamente entro </w:t>
      </w:r>
      <w:r w:rsidR="00783A39">
        <w:t>metà</w:t>
      </w:r>
      <w:r w:rsidR="00783A39" w:rsidRPr="008627B9">
        <w:t xml:space="preserve"> </w:t>
      </w:r>
      <w:r w:rsidRPr="008627B9">
        <w:t xml:space="preserve">2020. </w:t>
      </w:r>
    </w:p>
    <w:p w14:paraId="7001664A" w14:textId="77777777" w:rsidR="00343FB0" w:rsidRDefault="00343FB0" w:rsidP="00450E48">
      <w:pPr>
        <w:ind w:firstLine="709"/>
        <w:jc w:val="both"/>
      </w:pPr>
      <w:r w:rsidRPr="008627B9">
        <w:t xml:space="preserve">A livello nazionale sono state sottomesse </w:t>
      </w:r>
      <w:r w:rsidR="00897BB0" w:rsidRPr="00980E43">
        <w:t>1</w:t>
      </w:r>
      <w:r w:rsidR="00B44F88" w:rsidRPr="00980E43">
        <w:t>8</w:t>
      </w:r>
      <w:r w:rsidR="00B44F88">
        <w:t xml:space="preserve"> </w:t>
      </w:r>
      <w:r w:rsidRPr="008627B9">
        <w:t>proposte per una richiesta di co-finanziamento europeo di circa</w:t>
      </w:r>
      <w:r w:rsidR="001C66A6" w:rsidRPr="001C66A6">
        <w:t xml:space="preserve"> </w:t>
      </w:r>
      <w:r w:rsidR="001C66A6" w:rsidRPr="00C54C41">
        <w:t>137,</w:t>
      </w:r>
      <w:r w:rsidR="00C54C41" w:rsidRPr="00C54C41">
        <w:t>43</w:t>
      </w:r>
      <w:r w:rsidR="00C54C41">
        <w:t xml:space="preserve"> </w:t>
      </w:r>
      <w:r w:rsidRPr="008627B9">
        <w:t>milioni di euro</w:t>
      </w:r>
      <w:r w:rsidR="006F6818">
        <w:t xml:space="preserve">. </w:t>
      </w:r>
    </w:p>
    <w:p w14:paraId="00BE155B" w14:textId="77777777" w:rsidR="001E0952" w:rsidRPr="008627B9" w:rsidRDefault="001E0952" w:rsidP="00450E48">
      <w:pPr>
        <w:ind w:firstLine="709"/>
        <w:jc w:val="both"/>
      </w:pPr>
    </w:p>
    <w:p w14:paraId="1745E9E6" w14:textId="77777777" w:rsidR="00343FB0" w:rsidRPr="008627B9" w:rsidRDefault="00343FB0" w:rsidP="00343FB0"/>
    <w:p w14:paraId="702AEBFA" w14:textId="77777777" w:rsidR="00343FB0" w:rsidRDefault="00343FB0" w:rsidP="00343FB0">
      <w:pPr>
        <w:jc w:val="both"/>
        <w:rPr>
          <w:b/>
          <w:bCs/>
          <w:lang w:val="en-US"/>
        </w:rPr>
      </w:pPr>
      <w:r w:rsidRPr="008627B9">
        <w:rPr>
          <w:b/>
          <w:bCs/>
          <w:lang w:val="en-US"/>
        </w:rPr>
        <w:t>XI.4.4.10</w:t>
      </w:r>
      <w:r w:rsidR="00514CAB">
        <w:rPr>
          <w:b/>
          <w:bCs/>
          <w:lang w:val="en-US"/>
        </w:rPr>
        <w:t xml:space="preserve"> </w:t>
      </w:r>
      <w:r w:rsidRPr="008627B9">
        <w:rPr>
          <w:b/>
          <w:bCs/>
          <w:lang w:val="en-US"/>
        </w:rPr>
        <w:t xml:space="preserve">- Bando CEF </w:t>
      </w:r>
      <w:r w:rsidRPr="00450E48">
        <w:rPr>
          <w:b/>
          <w:bCs/>
          <w:i/>
          <w:lang w:val="en-US"/>
        </w:rPr>
        <w:t>Blending Facility</w:t>
      </w:r>
      <w:r w:rsidRPr="008627B9">
        <w:rPr>
          <w:b/>
          <w:bCs/>
          <w:lang w:val="en-US"/>
        </w:rPr>
        <w:t xml:space="preserve"> 2019</w:t>
      </w:r>
    </w:p>
    <w:p w14:paraId="39ABCFD7" w14:textId="77777777" w:rsidR="00514CAB" w:rsidRPr="008627B9" w:rsidRDefault="00514CAB" w:rsidP="00343FB0">
      <w:pPr>
        <w:jc w:val="both"/>
        <w:rPr>
          <w:b/>
          <w:bCs/>
          <w:lang w:val="en-US"/>
        </w:rPr>
      </w:pPr>
    </w:p>
    <w:p w14:paraId="0F5150A3" w14:textId="77777777" w:rsidR="00343FB0" w:rsidRPr="008627B9" w:rsidRDefault="00343FB0" w:rsidP="00F63DA4">
      <w:pPr>
        <w:ind w:firstLine="709"/>
        <w:jc w:val="both"/>
      </w:pPr>
      <w:r w:rsidRPr="008627B9">
        <w:t xml:space="preserve">Il bando CEF </w:t>
      </w:r>
      <w:proofErr w:type="spellStart"/>
      <w:r w:rsidRPr="008627B9">
        <w:t>Transport</w:t>
      </w:r>
      <w:proofErr w:type="spellEnd"/>
      <w:r w:rsidRPr="008627B9">
        <w:t xml:space="preserve"> 2019 </w:t>
      </w:r>
      <w:proofErr w:type="spellStart"/>
      <w:r w:rsidRPr="00450E48">
        <w:rPr>
          <w:i/>
        </w:rPr>
        <w:t>Blending</w:t>
      </w:r>
      <w:proofErr w:type="spellEnd"/>
      <w:r w:rsidRPr="00450E48">
        <w:rPr>
          <w:i/>
        </w:rPr>
        <w:t xml:space="preserve"> </w:t>
      </w:r>
      <w:proofErr w:type="spellStart"/>
      <w:r w:rsidRPr="00450E48">
        <w:rPr>
          <w:i/>
        </w:rPr>
        <w:t>Facil</w:t>
      </w:r>
      <w:r w:rsidR="006D3A71" w:rsidRPr="00450E48">
        <w:rPr>
          <w:i/>
        </w:rPr>
        <w:t>l</w:t>
      </w:r>
      <w:r w:rsidRPr="00450E48">
        <w:rPr>
          <w:i/>
        </w:rPr>
        <w:t>ity</w:t>
      </w:r>
      <w:proofErr w:type="spellEnd"/>
      <w:r w:rsidRPr="008627B9">
        <w:t xml:space="preserve">, è stato lanciato in data 15 </w:t>
      </w:r>
      <w:r w:rsidR="0000647F" w:rsidRPr="00642353">
        <w:rPr>
          <w:color w:val="FF0000"/>
        </w:rPr>
        <w:t>novembre</w:t>
      </w:r>
      <w:r w:rsidR="0000647F">
        <w:t xml:space="preserve"> </w:t>
      </w:r>
      <w:r w:rsidRPr="008627B9">
        <w:t xml:space="preserve">2019, con dotazione finanziaria pari a 198 milioni di euro sotto forma di </w:t>
      </w:r>
      <w:proofErr w:type="spellStart"/>
      <w:r w:rsidRPr="00450E48">
        <w:rPr>
          <w:i/>
        </w:rPr>
        <w:t>grant</w:t>
      </w:r>
      <w:proofErr w:type="spellEnd"/>
      <w:r w:rsidRPr="008627B9">
        <w:t xml:space="preserve"> (fondo perduto), per proposte progettuali concernenti unicamente ERTMS e carburanti alternativi, come riportato nella </w:t>
      </w:r>
      <w:proofErr w:type="spellStart"/>
      <w:r w:rsidRPr="008627B9">
        <w:t>Tab</w:t>
      </w:r>
      <w:proofErr w:type="spellEnd"/>
      <w:r w:rsidRPr="008627B9">
        <w:t>. XI.4.4.10.1.</w:t>
      </w:r>
    </w:p>
    <w:p w14:paraId="3D8F3569" w14:textId="77777777" w:rsidR="00C609A1" w:rsidRPr="008627B9" w:rsidRDefault="00C609A1" w:rsidP="00343FB0">
      <w:pPr>
        <w:jc w:val="both"/>
      </w:pPr>
    </w:p>
    <w:p w14:paraId="3A00DFD3" w14:textId="77777777" w:rsidR="00343FB0" w:rsidRDefault="00343FB0" w:rsidP="00343FB0">
      <w:pPr>
        <w:ind w:left="284" w:hanging="284"/>
        <w:rPr>
          <w:b/>
          <w:bCs/>
        </w:rPr>
      </w:pPr>
      <w:proofErr w:type="spellStart"/>
      <w:r w:rsidRPr="008627B9">
        <w:rPr>
          <w:b/>
          <w:bCs/>
        </w:rPr>
        <w:t>Tab</w:t>
      </w:r>
      <w:proofErr w:type="spellEnd"/>
      <w:r w:rsidRPr="008627B9">
        <w:rPr>
          <w:b/>
          <w:bCs/>
        </w:rPr>
        <w:t>. XI.4.4.10.1 - Dotazione finanziaria Bando CEF “</w:t>
      </w:r>
      <w:proofErr w:type="spellStart"/>
      <w:r w:rsidRPr="008627B9">
        <w:rPr>
          <w:b/>
          <w:bCs/>
        </w:rPr>
        <w:t>Blending</w:t>
      </w:r>
      <w:proofErr w:type="spellEnd"/>
      <w:r w:rsidRPr="008627B9">
        <w:rPr>
          <w:b/>
          <w:bCs/>
        </w:rPr>
        <w:t xml:space="preserve"> Facility”</w:t>
      </w:r>
    </w:p>
    <w:p w14:paraId="4E9783F5" w14:textId="77777777" w:rsidR="001E0952" w:rsidRPr="008627B9" w:rsidRDefault="001E0952" w:rsidP="00343FB0">
      <w:pPr>
        <w:ind w:left="284" w:hanging="284"/>
        <w:rPr>
          <w:b/>
          <w:bCs/>
        </w:rPr>
      </w:pPr>
    </w:p>
    <w:tbl>
      <w:tblPr>
        <w:tblStyle w:val="TableNormal1"/>
        <w:tblW w:w="102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545"/>
        <w:gridCol w:w="3661"/>
      </w:tblGrid>
      <w:tr w:rsidR="00343FB0" w:rsidRPr="00C609A1" w14:paraId="5D267BF9" w14:textId="77777777" w:rsidTr="00343FB0">
        <w:trPr>
          <w:trHeight w:hRule="exact" w:val="340"/>
        </w:trPr>
        <w:tc>
          <w:tcPr>
            <w:tcW w:w="654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5AE33D5" w14:textId="77777777" w:rsidR="00343FB0" w:rsidRPr="00F63DA4" w:rsidRDefault="00343FB0" w:rsidP="00343FB0">
            <w:pPr>
              <w:jc w:val="both"/>
              <w:rPr>
                <w:sz w:val="22"/>
                <w:szCs w:val="22"/>
              </w:rPr>
            </w:pPr>
            <w:r w:rsidRPr="00F63DA4">
              <w:rPr>
                <w:b/>
                <w:bCs/>
                <w:sz w:val="22"/>
                <w:szCs w:val="22"/>
              </w:rPr>
              <w:t>Bando</w:t>
            </w:r>
          </w:p>
        </w:tc>
        <w:tc>
          <w:tcPr>
            <w:tcW w:w="366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7074673" w14:textId="77777777" w:rsidR="00343FB0" w:rsidRPr="00F63DA4" w:rsidRDefault="00343FB0" w:rsidP="00343FB0">
            <w:pPr>
              <w:jc w:val="both"/>
              <w:rPr>
                <w:sz w:val="22"/>
                <w:szCs w:val="22"/>
              </w:rPr>
            </w:pPr>
            <w:r w:rsidRPr="00F63DA4">
              <w:rPr>
                <w:b/>
                <w:bCs/>
                <w:sz w:val="22"/>
                <w:szCs w:val="22"/>
              </w:rPr>
              <w:t>Budget call (miliardi €)</w:t>
            </w:r>
          </w:p>
        </w:tc>
      </w:tr>
      <w:tr w:rsidR="00343FB0" w:rsidRPr="00C609A1" w14:paraId="51934901" w14:textId="77777777" w:rsidTr="00343FB0">
        <w:trPr>
          <w:trHeight w:val="375"/>
        </w:trPr>
        <w:tc>
          <w:tcPr>
            <w:tcW w:w="6545" w:type="dxa"/>
            <w:tcBorders>
              <w:top w:val="single" w:sz="4" w:space="0" w:color="000000"/>
              <w:left w:val="nil"/>
              <w:bottom w:val="nil"/>
              <w:right w:val="nil"/>
            </w:tcBorders>
            <w:shd w:val="clear" w:color="auto" w:fill="auto"/>
            <w:tcMar>
              <w:top w:w="80" w:type="dxa"/>
              <w:left w:w="80" w:type="dxa"/>
              <w:bottom w:w="80" w:type="dxa"/>
              <w:right w:w="80" w:type="dxa"/>
            </w:tcMar>
          </w:tcPr>
          <w:p w14:paraId="286EE343" w14:textId="77777777" w:rsidR="00343FB0" w:rsidRPr="00450E48" w:rsidRDefault="00343FB0" w:rsidP="00706961">
            <w:pPr>
              <w:jc w:val="both"/>
              <w:rPr>
                <w:sz w:val="22"/>
                <w:szCs w:val="22"/>
                <w:lang w:val="en-US"/>
              </w:rPr>
            </w:pPr>
            <w:r w:rsidRPr="00450E48">
              <w:rPr>
                <w:sz w:val="22"/>
                <w:szCs w:val="22"/>
                <w:lang w:val="en-US"/>
              </w:rPr>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00D544A2" w:rsidRPr="00B340E0">
              <w:rPr>
                <w:i/>
                <w:lang w:val="en-US"/>
              </w:rPr>
              <w:t>Funding Objective</w:t>
            </w:r>
            <w:r w:rsidR="00D544A2" w:rsidRPr="00450E48">
              <w:rPr>
                <w:sz w:val="22"/>
                <w:szCs w:val="22"/>
                <w:lang w:val="en-US"/>
              </w:rPr>
              <w:t xml:space="preserve"> </w:t>
            </w:r>
            <w:r w:rsidRPr="00450E48">
              <w:rPr>
                <w:sz w:val="22"/>
                <w:szCs w:val="22"/>
                <w:lang w:val="en-US"/>
              </w:rPr>
              <w:t>1 -ERTMS)</w:t>
            </w:r>
          </w:p>
        </w:tc>
        <w:tc>
          <w:tcPr>
            <w:tcW w:w="3661" w:type="dxa"/>
            <w:tcBorders>
              <w:top w:val="single" w:sz="4" w:space="0" w:color="000000"/>
              <w:left w:val="nil"/>
              <w:bottom w:val="nil"/>
              <w:right w:val="nil"/>
            </w:tcBorders>
            <w:shd w:val="clear" w:color="auto" w:fill="auto"/>
            <w:tcMar>
              <w:top w:w="80" w:type="dxa"/>
              <w:left w:w="80" w:type="dxa"/>
              <w:bottom w:w="80" w:type="dxa"/>
              <w:right w:w="80" w:type="dxa"/>
            </w:tcMar>
          </w:tcPr>
          <w:p w14:paraId="41115915" w14:textId="77777777" w:rsidR="00343FB0" w:rsidRPr="00F63DA4" w:rsidRDefault="00343FB0" w:rsidP="00343FB0">
            <w:pPr>
              <w:jc w:val="center"/>
              <w:rPr>
                <w:sz w:val="22"/>
                <w:szCs w:val="22"/>
              </w:rPr>
            </w:pPr>
            <w:r w:rsidRPr="00F63DA4">
              <w:rPr>
                <w:sz w:val="22"/>
                <w:szCs w:val="22"/>
              </w:rPr>
              <w:t>0,99</w:t>
            </w:r>
          </w:p>
        </w:tc>
      </w:tr>
      <w:tr w:rsidR="00343FB0" w:rsidRPr="00C609A1" w14:paraId="4E57B2EC" w14:textId="77777777" w:rsidTr="00343FB0">
        <w:trPr>
          <w:trHeight w:val="375"/>
        </w:trPr>
        <w:tc>
          <w:tcPr>
            <w:tcW w:w="6545" w:type="dxa"/>
            <w:tcBorders>
              <w:top w:val="nil"/>
              <w:left w:val="nil"/>
              <w:bottom w:val="nil"/>
              <w:right w:val="nil"/>
            </w:tcBorders>
            <w:shd w:val="clear" w:color="auto" w:fill="auto"/>
            <w:tcMar>
              <w:top w:w="80" w:type="dxa"/>
              <w:left w:w="80" w:type="dxa"/>
              <w:bottom w:w="80" w:type="dxa"/>
              <w:right w:w="80" w:type="dxa"/>
            </w:tcMar>
          </w:tcPr>
          <w:p w14:paraId="1A64850E" w14:textId="77777777" w:rsidR="00343FB0" w:rsidRPr="00450E48" w:rsidRDefault="00343FB0" w:rsidP="00343FB0">
            <w:pPr>
              <w:jc w:val="both"/>
              <w:rPr>
                <w:sz w:val="22"/>
                <w:szCs w:val="22"/>
                <w:lang w:val="en-US"/>
              </w:rPr>
            </w:pPr>
            <w:r w:rsidRPr="00450E48">
              <w:rPr>
                <w:sz w:val="22"/>
                <w:szCs w:val="22"/>
                <w:lang w:val="en-US"/>
              </w:rPr>
              <w:lastRenderedPageBreak/>
              <w:t>Multi-</w:t>
            </w:r>
            <w:proofErr w:type="spellStart"/>
            <w:r w:rsidRPr="00450E48">
              <w:rPr>
                <w:sz w:val="22"/>
                <w:szCs w:val="22"/>
                <w:lang w:val="en-US"/>
              </w:rPr>
              <w:t>Annuale</w:t>
            </w:r>
            <w:proofErr w:type="spellEnd"/>
            <w:r w:rsidRPr="00450E48">
              <w:rPr>
                <w:sz w:val="22"/>
                <w:szCs w:val="22"/>
                <w:lang w:val="en-US"/>
              </w:rPr>
              <w:t xml:space="preserve">, </w:t>
            </w:r>
            <w:r w:rsidRPr="00450E48">
              <w:rPr>
                <w:i/>
                <w:iCs/>
                <w:sz w:val="22"/>
                <w:szCs w:val="22"/>
                <w:lang w:val="en-US"/>
              </w:rPr>
              <w:t>General envelope</w:t>
            </w:r>
            <w:r w:rsidRPr="00450E48">
              <w:rPr>
                <w:sz w:val="22"/>
                <w:szCs w:val="22"/>
                <w:lang w:val="en-US"/>
              </w:rPr>
              <w:t xml:space="preserve"> (</w:t>
            </w:r>
            <w:r w:rsidR="00D544A2" w:rsidRPr="00B340E0">
              <w:rPr>
                <w:i/>
                <w:lang w:val="en-US"/>
              </w:rPr>
              <w:t>Funding Objective</w:t>
            </w:r>
            <w:r w:rsidRPr="00450E48">
              <w:rPr>
                <w:sz w:val="22"/>
                <w:szCs w:val="22"/>
                <w:lang w:val="en-US"/>
              </w:rPr>
              <w:t xml:space="preserve"> 2- </w:t>
            </w:r>
            <w:proofErr w:type="spellStart"/>
            <w:r w:rsidRPr="00450E48">
              <w:rPr>
                <w:sz w:val="22"/>
                <w:szCs w:val="22"/>
                <w:lang w:val="en-US"/>
              </w:rPr>
              <w:t>Carburanti</w:t>
            </w:r>
            <w:proofErr w:type="spellEnd"/>
            <w:r w:rsidRPr="00450E48">
              <w:rPr>
                <w:sz w:val="22"/>
                <w:szCs w:val="22"/>
                <w:lang w:val="en-US"/>
              </w:rPr>
              <w:t xml:space="preserve"> </w:t>
            </w:r>
            <w:proofErr w:type="spellStart"/>
            <w:r w:rsidRPr="00450E48">
              <w:rPr>
                <w:sz w:val="22"/>
                <w:szCs w:val="22"/>
                <w:lang w:val="en-US"/>
              </w:rPr>
              <w:t>alternativi</w:t>
            </w:r>
            <w:proofErr w:type="spellEnd"/>
            <w:r w:rsidRPr="00450E48">
              <w:rPr>
                <w:sz w:val="22"/>
                <w:szCs w:val="22"/>
                <w:lang w:val="en-US"/>
              </w:rPr>
              <w:t>)</w:t>
            </w:r>
          </w:p>
        </w:tc>
        <w:tc>
          <w:tcPr>
            <w:tcW w:w="3661" w:type="dxa"/>
            <w:tcBorders>
              <w:top w:val="nil"/>
              <w:left w:val="nil"/>
              <w:bottom w:val="nil"/>
              <w:right w:val="nil"/>
            </w:tcBorders>
            <w:shd w:val="clear" w:color="auto" w:fill="auto"/>
            <w:tcMar>
              <w:top w:w="80" w:type="dxa"/>
              <w:left w:w="80" w:type="dxa"/>
              <w:bottom w:w="80" w:type="dxa"/>
              <w:right w:w="80" w:type="dxa"/>
            </w:tcMar>
          </w:tcPr>
          <w:p w14:paraId="1D512DD3" w14:textId="77777777" w:rsidR="00343FB0" w:rsidRPr="00F63DA4" w:rsidRDefault="00343FB0" w:rsidP="00343FB0">
            <w:pPr>
              <w:jc w:val="center"/>
              <w:rPr>
                <w:sz w:val="22"/>
                <w:szCs w:val="22"/>
              </w:rPr>
            </w:pPr>
            <w:r w:rsidRPr="00F63DA4">
              <w:rPr>
                <w:sz w:val="22"/>
                <w:szCs w:val="22"/>
              </w:rPr>
              <w:t>0,99</w:t>
            </w:r>
          </w:p>
        </w:tc>
      </w:tr>
      <w:tr w:rsidR="00343FB0" w:rsidRPr="00C609A1" w14:paraId="4AC8F055" w14:textId="77777777" w:rsidTr="00343FB0">
        <w:trPr>
          <w:trHeight w:hRule="exact" w:val="340"/>
        </w:trPr>
        <w:tc>
          <w:tcPr>
            <w:tcW w:w="6545"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577D537" w14:textId="77777777" w:rsidR="00343FB0" w:rsidRPr="00F63DA4" w:rsidRDefault="00343FB0" w:rsidP="00343FB0">
            <w:pPr>
              <w:jc w:val="both"/>
              <w:rPr>
                <w:sz w:val="22"/>
                <w:szCs w:val="22"/>
              </w:rPr>
            </w:pPr>
            <w:r w:rsidRPr="00F63DA4">
              <w:rPr>
                <w:b/>
                <w:bCs/>
                <w:sz w:val="22"/>
                <w:szCs w:val="22"/>
              </w:rPr>
              <w:t>Totale</w:t>
            </w:r>
          </w:p>
        </w:tc>
        <w:tc>
          <w:tcPr>
            <w:tcW w:w="366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313B4B6A" w14:textId="77777777" w:rsidR="00343FB0" w:rsidRPr="00F63DA4" w:rsidRDefault="00343FB0" w:rsidP="00343FB0">
            <w:pPr>
              <w:jc w:val="center"/>
              <w:rPr>
                <w:sz w:val="22"/>
                <w:szCs w:val="22"/>
              </w:rPr>
            </w:pPr>
            <w:r w:rsidRPr="00F63DA4">
              <w:rPr>
                <w:b/>
                <w:bCs/>
                <w:sz w:val="22"/>
                <w:szCs w:val="22"/>
              </w:rPr>
              <w:t>1,98</w:t>
            </w:r>
          </w:p>
        </w:tc>
      </w:tr>
    </w:tbl>
    <w:p w14:paraId="19B8CA04" w14:textId="77777777" w:rsidR="00343FB0" w:rsidRPr="008627B9" w:rsidRDefault="00343FB0">
      <w:pPr>
        <w:rPr>
          <w:sz w:val="18"/>
          <w:szCs w:val="18"/>
        </w:rPr>
      </w:pPr>
      <w:r w:rsidRPr="008627B9">
        <w:rPr>
          <w:i/>
          <w:iCs/>
          <w:sz w:val="18"/>
          <w:szCs w:val="18"/>
        </w:rPr>
        <w:t>Fonte</w:t>
      </w:r>
      <w:r w:rsidR="001E0952">
        <w:rPr>
          <w:sz w:val="18"/>
          <w:szCs w:val="18"/>
        </w:rPr>
        <w:t>: Sito INEA.</w:t>
      </w:r>
    </w:p>
    <w:p w14:paraId="612ACCD3" w14:textId="77777777" w:rsidR="00343FB0" w:rsidRDefault="00343FB0">
      <w:pPr>
        <w:jc w:val="both"/>
      </w:pPr>
    </w:p>
    <w:p w14:paraId="42009E88" w14:textId="77777777" w:rsidR="001E0952" w:rsidRPr="008627B9" w:rsidRDefault="001E0952">
      <w:pPr>
        <w:jc w:val="both"/>
      </w:pPr>
    </w:p>
    <w:p w14:paraId="2CCEA61E" w14:textId="77777777" w:rsidR="00385BD4" w:rsidRPr="001E0952" w:rsidRDefault="00343FB0" w:rsidP="00F63DA4">
      <w:pPr>
        <w:ind w:firstLine="709"/>
        <w:jc w:val="both"/>
        <w:rPr>
          <w:color w:val="000000" w:themeColor="text1"/>
        </w:rPr>
      </w:pPr>
      <w:r w:rsidRPr="008627B9">
        <w:t xml:space="preserve">Lo schema finanziario del </w:t>
      </w:r>
      <w:r w:rsidRPr="001E0952">
        <w:rPr>
          <w:color w:val="000000" w:themeColor="text1"/>
        </w:rPr>
        <w:t xml:space="preserve">bando combina forme diverse di finanziamento quali contributi CEF a fondo perduto e strumenti di finanziamento concessi dalla Banca Europea per gli Investimenti (BEI), Istituti nazionali di promozione  (NPB) o da istituzioni finanziarie private, </w:t>
      </w:r>
      <w:r w:rsidR="000F70EC" w:rsidRPr="001E0952">
        <w:rPr>
          <w:color w:val="000000" w:themeColor="text1"/>
        </w:rPr>
        <w:t xml:space="preserve">prevedendo </w:t>
      </w:r>
      <w:r w:rsidRPr="001E0952">
        <w:rPr>
          <w:color w:val="000000" w:themeColor="text1"/>
        </w:rPr>
        <w:t xml:space="preserve">la cooperazione di vari soggetti, coordinati dalla Commissione europea, e il coinvolgimento di partner finanziari (detti IP - </w:t>
      </w:r>
      <w:proofErr w:type="spellStart"/>
      <w:r w:rsidRPr="001E0952">
        <w:rPr>
          <w:i/>
          <w:iCs/>
          <w:color w:val="000000" w:themeColor="text1"/>
        </w:rPr>
        <w:t>Implementing</w:t>
      </w:r>
      <w:proofErr w:type="spellEnd"/>
      <w:r w:rsidRPr="001E0952">
        <w:rPr>
          <w:i/>
          <w:iCs/>
          <w:color w:val="000000" w:themeColor="text1"/>
        </w:rPr>
        <w:t xml:space="preserve"> Partner</w:t>
      </w:r>
      <w:r w:rsidRPr="001E0952">
        <w:rPr>
          <w:color w:val="000000" w:themeColor="text1"/>
        </w:rPr>
        <w:t xml:space="preserve">) attraverso la sottoscrizione di uno specifico accordo amministrativo. Per l’Italia figura tra gli </w:t>
      </w:r>
      <w:proofErr w:type="spellStart"/>
      <w:r w:rsidRPr="001E0952">
        <w:rPr>
          <w:i/>
          <w:iCs/>
          <w:color w:val="000000" w:themeColor="text1"/>
        </w:rPr>
        <w:t>Implementing</w:t>
      </w:r>
      <w:proofErr w:type="spellEnd"/>
      <w:r w:rsidRPr="001E0952">
        <w:rPr>
          <w:i/>
          <w:iCs/>
          <w:color w:val="000000" w:themeColor="text1"/>
        </w:rPr>
        <w:t xml:space="preserve"> partner</w:t>
      </w:r>
      <w:r w:rsidRPr="001E0952">
        <w:rPr>
          <w:color w:val="000000" w:themeColor="text1"/>
        </w:rPr>
        <w:t xml:space="preserve"> la Cassa Depositi e Prestiti (CDP) in qualità di Istituto Nazionale di Promozione. Data la peculiarità del bando è prevista una procedura di presentazione delle proposte “a sportello” con cadenza trimestrale a partire da febbraio (</w:t>
      </w:r>
      <w:r w:rsidR="0071388E" w:rsidRPr="001E0952">
        <w:rPr>
          <w:color w:val="000000" w:themeColor="text1"/>
        </w:rPr>
        <w:t>prima</w:t>
      </w:r>
      <w:r w:rsidR="0071388E" w:rsidRPr="001E0952">
        <w:rPr>
          <w:i/>
          <w:color w:val="000000" w:themeColor="text1"/>
        </w:rPr>
        <w:t xml:space="preserve"> </w:t>
      </w:r>
      <w:proofErr w:type="spellStart"/>
      <w:r w:rsidRPr="001E0952">
        <w:rPr>
          <w:i/>
          <w:color w:val="000000" w:themeColor="text1"/>
        </w:rPr>
        <w:t>cut</w:t>
      </w:r>
      <w:proofErr w:type="spellEnd"/>
      <w:r w:rsidRPr="001E0952">
        <w:rPr>
          <w:i/>
          <w:color w:val="000000" w:themeColor="text1"/>
        </w:rPr>
        <w:t>-off date</w:t>
      </w:r>
      <w:r w:rsidRPr="001E0952">
        <w:rPr>
          <w:color w:val="000000" w:themeColor="text1"/>
        </w:rPr>
        <w:t xml:space="preserve">) fino a marzo 2021, salvo esaurimento fondi. </w:t>
      </w:r>
      <w:r w:rsidRPr="001E0952">
        <w:rPr>
          <w:color w:val="000000" w:themeColor="text1"/>
          <w:sz w:val="23"/>
          <w:szCs w:val="23"/>
        </w:rPr>
        <w:t xml:space="preserve">In occasione della prima scadenza del bando CEF </w:t>
      </w:r>
      <w:proofErr w:type="spellStart"/>
      <w:r w:rsidRPr="001E0952">
        <w:rPr>
          <w:i/>
          <w:iCs/>
          <w:color w:val="000000" w:themeColor="text1"/>
          <w:sz w:val="23"/>
          <w:szCs w:val="23"/>
        </w:rPr>
        <w:t>Blending</w:t>
      </w:r>
      <w:proofErr w:type="spellEnd"/>
      <w:r w:rsidRPr="001E0952">
        <w:rPr>
          <w:color w:val="000000" w:themeColor="text1"/>
          <w:sz w:val="23"/>
          <w:szCs w:val="23"/>
        </w:rPr>
        <w:t xml:space="preserve"> </w:t>
      </w:r>
      <w:r w:rsidRPr="001E0952">
        <w:rPr>
          <w:i/>
          <w:iCs/>
          <w:color w:val="000000" w:themeColor="text1"/>
          <w:sz w:val="23"/>
          <w:szCs w:val="23"/>
        </w:rPr>
        <w:t>Facility</w:t>
      </w:r>
      <w:r w:rsidRPr="001E0952">
        <w:rPr>
          <w:color w:val="000000" w:themeColor="text1"/>
          <w:sz w:val="23"/>
          <w:szCs w:val="23"/>
        </w:rPr>
        <w:t xml:space="preserve"> fissata al 14 febbraio 2020, </w:t>
      </w:r>
      <w:r w:rsidRPr="001E0952">
        <w:rPr>
          <w:color w:val="000000" w:themeColor="text1"/>
        </w:rPr>
        <w:t>a livello nazionale sono state sottomesse 3 proposte</w:t>
      </w:r>
      <w:r w:rsidR="008713E3" w:rsidRPr="001E0952">
        <w:rPr>
          <w:color w:val="000000" w:themeColor="text1"/>
        </w:rPr>
        <w:t xml:space="preserve">, </w:t>
      </w:r>
      <w:r w:rsidR="00FD2A6F" w:rsidRPr="001E0952">
        <w:rPr>
          <w:color w:val="000000" w:themeColor="text1"/>
        </w:rPr>
        <w:t xml:space="preserve">di cui una riguardante la </w:t>
      </w:r>
      <w:r w:rsidR="008713E3" w:rsidRPr="001E0952">
        <w:rPr>
          <w:color w:val="000000" w:themeColor="text1"/>
        </w:rPr>
        <w:t xml:space="preserve">priorità </w:t>
      </w:r>
      <w:r w:rsidR="00FD2A6F" w:rsidRPr="001E0952">
        <w:rPr>
          <w:color w:val="000000" w:themeColor="text1"/>
        </w:rPr>
        <w:t xml:space="preserve">ERTMS e due la </w:t>
      </w:r>
      <w:r w:rsidR="00265645" w:rsidRPr="001E0952">
        <w:rPr>
          <w:color w:val="000000" w:themeColor="text1"/>
        </w:rPr>
        <w:t>priorità</w:t>
      </w:r>
      <w:r w:rsidR="008713E3" w:rsidRPr="001E0952">
        <w:rPr>
          <w:color w:val="000000" w:themeColor="text1"/>
        </w:rPr>
        <w:t xml:space="preserve"> Carburanti alternativi,</w:t>
      </w:r>
      <w:r w:rsidRPr="001E0952">
        <w:rPr>
          <w:color w:val="000000" w:themeColor="text1"/>
        </w:rPr>
        <w:t xml:space="preserve"> con </w:t>
      </w:r>
      <w:r w:rsidR="000F70EC" w:rsidRPr="001E0952">
        <w:rPr>
          <w:color w:val="000000" w:themeColor="text1"/>
        </w:rPr>
        <w:t xml:space="preserve">Partenariato </w:t>
      </w:r>
      <w:r w:rsidRPr="001E0952">
        <w:rPr>
          <w:color w:val="000000" w:themeColor="text1"/>
        </w:rPr>
        <w:t>esclusivamente italiano per una richiesta complessiva di co-finanziamento europeo di circa 18,2 milioni di euro.</w:t>
      </w:r>
      <w:r w:rsidR="006F6818" w:rsidRPr="001E0952">
        <w:rPr>
          <w:color w:val="000000" w:themeColor="text1"/>
        </w:rPr>
        <w:t xml:space="preserve"> </w:t>
      </w:r>
      <w:r w:rsidR="00FD2A6F" w:rsidRPr="001E0952">
        <w:rPr>
          <w:color w:val="000000" w:themeColor="text1"/>
        </w:rPr>
        <w:t xml:space="preserve">Nella seconda scadenza </w:t>
      </w:r>
      <w:r w:rsidR="00265645" w:rsidRPr="001E0952">
        <w:rPr>
          <w:color w:val="000000" w:themeColor="text1"/>
        </w:rPr>
        <w:t xml:space="preserve">fissata al </w:t>
      </w:r>
      <w:r w:rsidR="0071388E" w:rsidRPr="001E0952">
        <w:rPr>
          <w:color w:val="000000" w:themeColor="text1"/>
        </w:rPr>
        <w:t>15 maggio 2020</w:t>
      </w:r>
      <w:r w:rsidR="00265645" w:rsidRPr="001E0952">
        <w:rPr>
          <w:color w:val="000000" w:themeColor="text1"/>
        </w:rPr>
        <w:t xml:space="preserve">, a livello nazionale </w:t>
      </w:r>
      <w:r w:rsidR="00FD2A6F" w:rsidRPr="001E0952">
        <w:rPr>
          <w:color w:val="000000" w:themeColor="text1"/>
        </w:rPr>
        <w:t>sono state presentate 2 proposte</w:t>
      </w:r>
      <w:r w:rsidR="00E9471F" w:rsidRPr="001E0952">
        <w:rPr>
          <w:color w:val="000000" w:themeColor="text1"/>
        </w:rPr>
        <w:t>,</w:t>
      </w:r>
      <w:r w:rsidR="008713E3" w:rsidRPr="001E0952">
        <w:rPr>
          <w:color w:val="000000" w:themeColor="text1"/>
        </w:rPr>
        <w:t xml:space="preserve"> concernenti la priorità Carburanti Alternativi,</w:t>
      </w:r>
      <w:r w:rsidR="00FD2A6F" w:rsidRPr="001E0952">
        <w:rPr>
          <w:color w:val="000000" w:themeColor="text1"/>
        </w:rPr>
        <w:t xml:space="preserve"> </w:t>
      </w:r>
      <w:r w:rsidR="008713E3" w:rsidRPr="001E0952">
        <w:rPr>
          <w:color w:val="000000" w:themeColor="text1"/>
        </w:rPr>
        <w:t xml:space="preserve">con </w:t>
      </w:r>
      <w:r w:rsidR="000F70EC" w:rsidRPr="001E0952">
        <w:rPr>
          <w:color w:val="000000" w:themeColor="text1"/>
        </w:rPr>
        <w:t xml:space="preserve">Partenariato </w:t>
      </w:r>
      <w:r w:rsidR="008713E3" w:rsidRPr="001E0952">
        <w:rPr>
          <w:color w:val="000000" w:themeColor="text1"/>
        </w:rPr>
        <w:t xml:space="preserve">esclusivamente italiano </w:t>
      </w:r>
      <w:r w:rsidR="00FD2A6F" w:rsidRPr="001E0952">
        <w:rPr>
          <w:color w:val="000000" w:themeColor="text1"/>
        </w:rPr>
        <w:t xml:space="preserve">per una richiesta </w:t>
      </w:r>
      <w:r w:rsidR="00E9471F" w:rsidRPr="001E0952">
        <w:rPr>
          <w:color w:val="000000" w:themeColor="text1"/>
        </w:rPr>
        <w:t xml:space="preserve">complessiva di co-finanziamento europeo </w:t>
      </w:r>
      <w:r w:rsidR="00FD2A6F" w:rsidRPr="001E0952">
        <w:rPr>
          <w:color w:val="000000" w:themeColor="text1"/>
        </w:rPr>
        <w:t xml:space="preserve">di </w:t>
      </w:r>
      <w:r w:rsidR="00AF69F2" w:rsidRPr="001E0952">
        <w:rPr>
          <w:color w:val="000000" w:themeColor="text1"/>
        </w:rPr>
        <w:t>circa 6,</w:t>
      </w:r>
      <w:r w:rsidR="008713E3" w:rsidRPr="001E0952">
        <w:rPr>
          <w:color w:val="000000" w:themeColor="text1"/>
        </w:rPr>
        <w:t>2 milioni</w:t>
      </w:r>
      <w:r w:rsidR="00FD2A6F" w:rsidRPr="001E0952">
        <w:rPr>
          <w:color w:val="000000" w:themeColor="text1"/>
        </w:rPr>
        <w:t xml:space="preserve"> di euro</w:t>
      </w:r>
      <w:r w:rsidR="00E9471F" w:rsidRPr="001E0952">
        <w:rPr>
          <w:color w:val="000000" w:themeColor="text1"/>
        </w:rPr>
        <w:t>.</w:t>
      </w:r>
    </w:p>
    <w:p w14:paraId="0EC79728" w14:textId="77777777" w:rsidR="0003583B" w:rsidRDefault="0003583B">
      <w:pPr>
        <w:jc w:val="both"/>
        <w:rPr>
          <w:b/>
          <w:bCs/>
        </w:rPr>
      </w:pPr>
    </w:p>
    <w:p w14:paraId="19FE8D3C" w14:textId="77777777" w:rsidR="005011ED" w:rsidRDefault="005011ED">
      <w:pPr>
        <w:jc w:val="both"/>
        <w:rPr>
          <w:b/>
          <w:bCs/>
        </w:rPr>
      </w:pPr>
    </w:p>
    <w:p w14:paraId="557CF702" w14:textId="77777777" w:rsidR="00385BD4" w:rsidRDefault="00C6166A">
      <w:pPr>
        <w:jc w:val="both"/>
        <w:rPr>
          <w:b/>
          <w:bCs/>
        </w:rPr>
      </w:pPr>
      <w:bookmarkStart w:id="3" w:name="_Hlk6591417"/>
      <w:r w:rsidRPr="00DA6D7B">
        <w:rPr>
          <w:b/>
          <w:bCs/>
        </w:rPr>
        <w:t>XI.</w:t>
      </w:r>
      <w:r w:rsidR="00DC2F39">
        <w:rPr>
          <w:b/>
          <w:bCs/>
        </w:rPr>
        <w:t>4.5</w:t>
      </w:r>
      <w:r w:rsidRPr="00DA6D7B">
        <w:rPr>
          <w:b/>
          <w:bCs/>
        </w:rPr>
        <w:t xml:space="preserve"> </w:t>
      </w:r>
      <w:bookmarkEnd w:id="3"/>
      <w:r w:rsidRPr="00DA6D7B">
        <w:rPr>
          <w:b/>
          <w:bCs/>
        </w:rPr>
        <w:t xml:space="preserve">- Stato di avanzamento dei progetti CEF 2014-2020 </w:t>
      </w:r>
    </w:p>
    <w:p w14:paraId="361CFB1E" w14:textId="77777777" w:rsidR="0003583B" w:rsidRPr="00DA6D7B" w:rsidRDefault="0003583B">
      <w:pPr>
        <w:jc w:val="both"/>
        <w:rPr>
          <w:b/>
          <w:bCs/>
        </w:rPr>
      </w:pPr>
    </w:p>
    <w:p w14:paraId="10DA7D40" w14:textId="77777777" w:rsidR="00385BD4" w:rsidRPr="00644727" w:rsidRDefault="00C6166A">
      <w:pPr>
        <w:ind w:firstLine="708"/>
        <w:jc w:val="both"/>
        <w:rPr>
          <w:color w:val="000000" w:themeColor="text1"/>
        </w:rPr>
      </w:pPr>
      <w:r>
        <w:t xml:space="preserve">Per quanto </w:t>
      </w:r>
      <w:r w:rsidRPr="00644727">
        <w:rPr>
          <w:color w:val="000000" w:themeColor="text1"/>
        </w:rPr>
        <w:t>attiene alla Programmazione CEF 2014-2020, i primi progetti sono stati approvati a luglio 2015 ma prevedono attività e spese ammissibili sin dal 2014. Il prospetto che segue (si veda</w:t>
      </w:r>
      <w:r w:rsidR="00F20C41" w:rsidRPr="00644727">
        <w:rPr>
          <w:color w:val="000000" w:themeColor="text1"/>
        </w:rPr>
        <w:t xml:space="preserve"> </w:t>
      </w:r>
      <w:r w:rsidRPr="00644727">
        <w:rPr>
          <w:color w:val="000000" w:themeColor="text1"/>
        </w:rPr>
        <w:t xml:space="preserve">la </w:t>
      </w:r>
      <w:proofErr w:type="spellStart"/>
      <w:r w:rsidRPr="00644727">
        <w:rPr>
          <w:color w:val="000000" w:themeColor="text1"/>
        </w:rPr>
        <w:t>Tab</w:t>
      </w:r>
      <w:proofErr w:type="spellEnd"/>
      <w:r w:rsidR="0003583B" w:rsidRPr="00644727">
        <w:rPr>
          <w:color w:val="000000" w:themeColor="text1"/>
        </w:rPr>
        <w:t>.</w:t>
      </w:r>
      <w:r w:rsidRPr="00644727">
        <w:rPr>
          <w:color w:val="000000" w:themeColor="text1"/>
        </w:rPr>
        <w:t xml:space="preserve"> XI.4.</w:t>
      </w:r>
      <w:r w:rsidR="004E1261" w:rsidRPr="00644727">
        <w:rPr>
          <w:color w:val="000000" w:themeColor="text1"/>
        </w:rPr>
        <w:t>5.1</w:t>
      </w:r>
      <w:r w:rsidRPr="00644727">
        <w:rPr>
          <w:color w:val="000000" w:themeColor="text1"/>
        </w:rPr>
        <w:t>) riporta i</w:t>
      </w:r>
      <w:r w:rsidR="00DA6D7B" w:rsidRPr="00644727">
        <w:rPr>
          <w:color w:val="000000" w:themeColor="text1"/>
        </w:rPr>
        <w:t xml:space="preserve"> dati disponibili relativi ai </w:t>
      </w:r>
      <w:r w:rsidR="00343FB0" w:rsidRPr="00644727">
        <w:rPr>
          <w:color w:val="000000" w:themeColor="text1"/>
        </w:rPr>
        <w:t>9</w:t>
      </w:r>
      <w:r w:rsidR="00DA6D7B" w:rsidRPr="00644727">
        <w:rPr>
          <w:color w:val="000000" w:themeColor="text1"/>
        </w:rPr>
        <w:t>4</w:t>
      </w:r>
      <w:r w:rsidRPr="00644727">
        <w:rPr>
          <w:color w:val="000000" w:themeColor="text1"/>
        </w:rPr>
        <w:t xml:space="preserve"> progetti CEF già approvati dalla </w:t>
      </w:r>
      <w:r w:rsidR="000E1C97" w:rsidRPr="00644727">
        <w:rPr>
          <w:color w:val="000000" w:themeColor="text1"/>
        </w:rPr>
        <w:t>Commissione Europea</w:t>
      </w:r>
      <w:r w:rsidRPr="00644727">
        <w:rPr>
          <w:color w:val="000000" w:themeColor="text1"/>
        </w:rPr>
        <w:t xml:space="preserve"> e regolamentati dal contratto di sovvenzione denominat</w:t>
      </w:r>
      <w:r w:rsidR="00DA6D7B" w:rsidRPr="00644727">
        <w:rPr>
          <w:color w:val="000000" w:themeColor="text1"/>
        </w:rPr>
        <w:t>o</w:t>
      </w:r>
      <w:r w:rsidRPr="00644727">
        <w:rPr>
          <w:color w:val="000000" w:themeColor="text1"/>
        </w:rPr>
        <w:t xml:space="preserve"> “</w:t>
      </w:r>
      <w:r w:rsidRPr="00644727">
        <w:rPr>
          <w:i/>
          <w:color w:val="000000" w:themeColor="text1"/>
        </w:rPr>
        <w:t>Grant Agreement</w:t>
      </w:r>
      <w:r w:rsidRPr="00644727">
        <w:rPr>
          <w:color w:val="000000" w:themeColor="text1"/>
        </w:rPr>
        <w:t>” (GA) in cui sono presenti, a vario titolo, beneficiari italiani. Lo scopo del suddetto contratto, sottoscritto tra l’Agenzia INEA e i beneficiari, è di stabilire l’oggetto dell’</w:t>
      </w:r>
      <w:r w:rsidR="00FB4B03" w:rsidRPr="00644727">
        <w:rPr>
          <w:color w:val="000000" w:themeColor="text1"/>
        </w:rPr>
        <w:t xml:space="preserve">Azione </w:t>
      </w:r>
      <w:r w:rsidRPr="00644727">
        <w:rPr>
          <w:color w:val="000000" w:themeColor="text1"/>
        </w:rPr>
        <w:t>in termini di attività, sotto-attività, tempistiche e costi nonché le condizioni legali che i beneficiari e gli altri soggetti coinvolti sono chiamati ad accettare e a rispettare nell’ambito dell’azione stessa.</w:t>
      </w:r>
    </w:p>
    <w:p w14:paraId="2903C170" w14:textId="77777777" w:rsidR="00385BD4" w:rsidRPr="00644727" w:rsidRDefault="00C6166A">
      <w:pPr>
        <w:ind w:firstLine="708"/>
        <w:jc w:val="both"/>
        <w:rPr>
          <w:color w:val="000000" w:themeColor="text1"/>
        </w:rPr>
      </w:pPr>
      <w:r w:rsidRPr="00644727">
        <w:rPr>
          <w:color w:val="000000" w:themeColor="text1"/>
        </w:rPr>
        <w:t>Per i progetti CEF</w:t>
      </w:r>
      <w:r w:rsidR="003D3722" w:rsidRPr="00644727">
        <w:rPr>
          <w:color w:val="000000" w:themeColor="text1"/>
        </w:rPr>
        <w:t xml:space="preserve"> 2014-2020</w:t>
      </w:r>
      <w:r w:rsidRPr="00644727">
        <w:rPr>
          <w:color w:val="000000" w:themeColor="text1"/>
        </w:rPr>
        <w:t xml:space="preserve">, il contributo concesso ai beneficiari italiani ammonta a </w:t>
      </w:r>
      <w:r w:rsidR="003D3722" w:rsidRPr="00644727">
        <w:rPr>
          <w:color w:val="000000" w:themeColor="text1"/>
        </w:rPr>
        <w:t>1.58</w:t>
      </w:r>
      <w:r w:rsidR="00981E0E" w:rsidRPr="00644727">
        <w:rPr>
          <w:color w:val="000000" w:themeColor="text1"/>
        </w:rPr>
        <w:t>7</w:t>
      </w:r>
      <w:r w:rsidR="003D3722" w:rsidRPr="00644727">
        <w:rPr>
          <w:color w:val="000000" w:themeColor="text1"/>
        </w:rPr>
        <w:t xml:space="preserve"> milioni </w:t>
      </w:r>
      <w:r w:rsidR="00DA6D7B" w:rsidRPr="00644727">
        <w:rPr>
          <w:color w:val="000000" w:themeColor="text1"/>
        </w:rPr>
        <w:t>di e</w:t>
      </w:r>
      <w:r w:rsidRPr="00644727">
        <w:rPr>
          <w:color w:val="000000" w:themeColor="text1"/>
        </w:rPr>
        <w:t xml:space="preserve">uro, mentre il contributo incassato </w:t>
      </w:r>
      <w:r w:rsidR="00406812" w:rsidRPr="00644727">
        <w:rPr>
          <w:color w:val="000000" w:themeColor="text1"/>
        </w:rPr>
        <w:t>a fine aprile 2020</w:t>
      </w:r>
      <w:r w:rsidRPr="00644727">
        <w:rPr>
          <w:color w:val="000000" w:themeColor="text1"/>
        </w:rPr>
        <w:t xml:space="preserve"> ammonta a </w:t>
      </w:r>
      <w:r w:rsidR="003D3722" w:rsidRPr="00644727">
        <w:rPr>
          <w:color w:val="000000" w:themeColor="text1"/>
        </w:rPr>
        <w:t>53</w:t>
      </w:r>
      <w:r w:rsidR="00B105BE" w:rsidRPr="00644727">
        <w:rPr>
          <w:color w:val="000000" w:themeColor="text1"/>
        </w:rPr>
        <w:t>6</w:t>
      </w:r>
      <w:r w:rsidR="003D3722" w:rsidRPr="00644727">
        <w:rPr>
          <w:color w:val="000000" w:themeColor="text1"/>
        </w:rPr>
        <w:t xml:space="preserve"> milioni</w:t>
      </w:r>
      <w:r w:rsidR="00DA6D7B" w:rsidRPr="00644727">
        <w:rPr>
          <w:color w:val="000000" w:themeColor="text1"/>
        </w:rPr>
        <w:t xml:space="preserve"> di e</w:t>
      </w:r>
      <w:r w:rsidRPr="00644727">
        <w:rPr>
          <w:color w:val="000000" w:themeColor="text1"/>
        </w:rPr>
        <w:t>uro</w:t>
      </w:r>
      <w:r w:rsidR="00732BF1" w:rsidRPr="00644727">
        <w:rPr>
          <w:color w:val="000000" w:themeColor="text1"/>
        </w:rPr>
        <w:t xml:space="preserve"> </w:t>
      </w:r>
      <w:r w:rsidRPr="00644727">
        <w:rPr>
          <w:color w:val="000000" w:themeColor="text1"/>
        </w:rPr>
        <w:t xml:space="preserve">a fronte di costi </w:t>
      </w:r>
      <w:r w:rsidR="00DA6D7B" w:rsidRPr="00644727">
        <w:rPr>
          <w:color w:val="000000" w:themeColor="text1"/>
        </w:rPr>
        <w:t xml:space="preserve">sostenuti </w:t>
      </w:r>
      <w:r w:rsidRPr="00644727">
        <w:rPr>
          <w:color w:val="000000" w:themeColor="text1"/>
        </w:rPr>
        <w:t>al 31/12/201</w:t>
      </w:r>
      <w:r w:rsidR="00343FB0" w:rsidRPr="00644727">
        <w:rPr>
          <w:color w:val="000000" w:themeColor="text1"/>
        </w:rPr>
        <w:t>9</w:t>
      </w:r>
      <w:r w:rsidR="00406812" w:rsidRPr="00644727">
        <w:rPr>
          <w:color w:val="000000" w:themeColor="text1"/>
        </w:rPr>
        <w:t xml:space="preserve"> per</w:t>
      </w:r>
      <w:r w:rsidRPr="00644727">
        <w:rPr>
          <w:color w:val="000000" w:themeColor="text1"/>
        </w:rPr>
        <w:t xml:space="preserve"> complessivi </w:t>
      </w:r>
      <w:r w:rsidR="00FC71E4" w:rsidRPr="00644727">
        <w:rPr>
          <w:color w:val="000000" w:themeColor="text1"/>
        </w:rPr>
        <w:t>1.5</w:t>
      </w:r>
      <w:r w:rsidR="00981E0E" w:rsidRPr="00644727">
        <w:rPr>
          <w:color w:val="000000" w:themeColor="text1"/>
        </w:rPr>
        <w:t>75</w:t>
      </w:r>
      <w:r w:rsidR="00343FB0" w:rsidRPr="00644727">
        <w:rPr>
          <w:color w:val="000000" w:themeColor="text1"/>
        </w:rPr>
        <w:t xml:space="preserve"> </w:t>
      </w:r>
      <w:r w:rsidR="003D3722" w:rsidRPr="00644727">
        <w:rPr>
          <w:color w:val="000000" w:themeColor="text1"/>
        </w:rPr>
        <w:t>milioni</w:t>
      </w:r>
      <w:r w:rsidR="00732BF1" w:rsidRPr="00644727">
        <w:rPr>
          <w:color w:val="000000" w:themeColor="text1"/>
        </w:rPr>
        <w:t xml:space="preserve"> e</w:t>
      </w:r>
      <w:r w:rsidR="00C450E6" w:rsidRPr="00644727">
        <w:rPr>
          <w:color w:val="000000" w:themeColor="text1"/>
        </w:rPr>
        <w:t>uro su un totale di investimenti attesi che superano i 4 miliardi di euro.</w:t>
      </w:r>
    </w:p>
    <w:p w14:paraId="1020C094" w14:textId="77777777" w:rsidR="000C6189" w:rsidRPr="00644727" w:rsidRDefault="000C6189">
      <w:pPr>
        <w:ind w:firstLine="708"/>
        <w:jc w:val="both"/>
        <w:rPr>
          <w:color w:val="000000" w:themeColor="text1"/>
          <w:shd w:val="clear" w:color="auto" w:fill="FFFFFF"/>
        </w:rPr>
      </w:pPr>
      <w:r w:rsidRPr="00644727">
        <w:rPr>
          <w:color w:val="000000" w:themeColor="text1"/>
        </w:rPr>
        <w:t>Alcuni progetti stanno registrando ritardi dovuti all’attuale emergenza Covid-19 i cui effetti</w:t>
      </w:r>
      <w:r w:rsidRPr="00644727">
        <w:rPr>
          <w:color w:val="000000" w:themeColor="text1"/>
          <w:shd w:val="clear" w:color="auto" w:fill="FFFFFF"/>
        </w:rPr>
        <w:t xml:space="preserve"> di breve e medio termine</w:t>
      </w:r>
      <w:r w:rsidR="00406812" w:rsidRPr="00644727">
        <w:rPr>
          <w:color w:val="000000" w:themeColor="text1"/>
          <w:shd w:val="clear" w:color="auto" w:fill="FFFFFF"/>
        </w:rPr>
        <w:t xml:space="preserve"> ed eventuali misure di recupero</w:t>
      </w:r>
      <w:r w:rsidRPr="00644727">
        <w:rPr>
          <w:color w:val="000000" w:themeColor="text1"/>
          <w:shd w:val="clear" w:color="auto" w:fill="FFFFFF"/>
        </w:rPr>
        <w:t xml:space="preserve"> potranno </w:t>
      </w:r>
      <w:r w:rsidR="00406812" w:rsidRPr="00644727">
        <w:rPr>
          <w:color w:val="000000" w:themeColor="text1"/>
          <w:shd w:val="clear" w:color="auto" w:fill="FFFFFF"/>
        </w:rPr>
        <w:t>essere valutate</w:t>
      </w:r>
      <w:r w:rsidRPr="00644727">
        <w:rPr>
          <w:color w:val="000000" w:themeColor="text1"/>
          <w:shd w:val="clear" w:color="auto" w:fill="FFFFFF"/>
        </w:rPr>
        <w:t xml:space="preserve"> </w:t>
      </w:r>
      <w:r w:rsidR="00406812" w:rsidRPr="00644727">
        <w:rPr>
          <w:color w:val="000000" w:themeColor="text1"/>
          <w:shd w:val="clear" w:color="auto" w:fill="FFFFFF"/>
        </w:rPr>
        <w:t>solo a</w:t>
      </w:r>
      <w:r w:rsidR="00D15E2C" w:rsidRPr="00644727">
        <w:rPr>
          <w:color w:val="000000" w:themeColor="text1"/>
          <w:shd w:val="clear" w:color="auto" w:fill="FFFFFF"/>
        </w:rPr>
        <w:t xml:space="preserve"> conclusione della </w:t>
      </w:r>
      <w:r w:rsidR="00406812" w:rsidRPr="00644727">
        <w:rPr>
          <w:color w:val="000000" w:themeColor="text1"/>
          <w:shd w:val="clear" w:color="auto" w:fill="FFFFFF"/>
        </w:rPr>
        <w:t>fase critica</w:t>
      </w:r>
      <w:r w:rsidR="00D15E2C" w:rsidRPr="00644727">
        <w:rPr>
          <w:color w:val="000000" w:themeColor="text1"/>
          <w:shd w:val="clear" w:color="auto" w:fill="FFFFFF"/>
        </w:rPr>
        <w:t xml:space="preserve"> (si veda box di approfondimento n.8)</w:t>
      </w:r>
      <w:r w:rsidR="00B46C86" w:rsidRPr="00644727">
        <w:rPr>
          <w:color w:val="000000" w:themeColor="text1"/>
          <w:shd w:val="clear" w:color="auto" w:fill="FFFFFF"/>
        </w:rPr>
        <w:t>.</w:t>
      </w:r>
    </w:p>
    <w:p w14:paraId="5388ADE7" w14:textId="77777777" w:rsidR="00B105BE" w:rsidRDefault="00B105BE">
      <w:pPr>
        <w:ind w:firstLine="708"/>
        <w:jc w:val="both"/>
        <w:rPr>
          <w:shd w:val="clear" w:color="auto" w:fill="FFFFFF"/>
        </w:rPr>
      </w:pPr>
    </w:p>
    <w:p w14:paraId="3D846357" w14:textId="77777777" w:rsidR="000C6189" w:rsidRPr="007B65D7" w:rsidRDefault="000C6189" w:rsidP="000C6189">
      <w:pPr>
        <w:pStyle w:val="Didefault"/>
        <w:pBdr>
          <w:top w:val="single" w:sz="4" w:space="1" w:color="auto"/>
          <w:left w:val="single" w:sz="4" w:space="1" w:color="auto"/>
          <w:bottom w:val="single" w:sz="4" w:space="1" w:color="auto"/>
          <w:right w:val="single" w:sz="4" w:space="1" w:color="auto"/>
        </w:pBdr>
        <w:spacing w:after="120"/>
        <w:jc w:val="both"/>
        <w:rPr>
          <w:rFonts w:ascii="Times New Roman" w:hAnsi="Times New Roman"/>
          <w:b/>
          <w:bCs/>
          <w:shd w:val="clear" w:color="auto" w:fill="FFFFFF"/>
        </w:rPr>
      </w:pPr>
      <w:r w:rsidRPr="007B65D7">
        <w:rPr>
          <w:rFonts w:ascii="Times New Roman" w:hAnsi="Times New Roman"/>
          <w:b/>
          <w:bCs/>
          <w:shd w:val="clear" w:color="auto" w:fill="FFFFFF"/>
        </w:rPr>
        <w:t xml:space="preserve">Box di approfondimento n. </w:t>
      </w:r>
      <w:proofErr w:type="gramStart"/>
      <w:r w:rsidR="00D15E2C">
        <w:rPr>
          <w:rFonts w:ascii="Times New Roman" w:hAnsi="Times New Roman"/>
          <w:b/>
          <w:bCs/>
          <w:shd w:val="clear" w:color="auto" w:fill="FFFFFF"/>
        </w:rPr>
        <w:t>8</w:t>
      </w:r>
      <w:r w:rsidRPr="007B65D7">
        <w:rPr>
          <w:rFonts w:ascii="Times New Roman" w:hAnsi="Times New Roman"/>
          <w:b/>
          <w:bCs/>
          <w:shd w:val="clear" w:color="auto" w:fill="FFFFFF"/>
        </w:rPr>
        <w:t xml:space="preserve"> </w:t>
      </w:r>
      <w:r>
        <w:rPr>
          <w:rFonts w:ascii="Times New Roman" w:hAnsi="Times New Roman"/>
          <w:b/>
          <w:bCs/>
          <w:shd w:val="clear" w:color="auto" w:fill="FFFFFF"/>
        </w:rPr>
        <w:t xml:space="preserve"> -</w:t>
      </w:r>
      <w:proofErr w:type="gramEnd"/>
      <w:r>
        <w:rPr>
          <w:rFonts w:ascii="Times New Roman" w:hAnsi="Times New Roman"/>
          <w:b/>
          <w:bCs/>
          <w:shd w:val="clear" w:color="auto" w:fill="FFFFFF"/>
        </w:rPr>
        <w:t xml:space="preserve"> “Emergenza Covid-</w:t>
      </w:r>
      <w:r w:rsidRPr="007B65D7">
        <w:rPr>
          <w:rFonts w:ascii="Times New Roman" w:hAnsi="Times New Roman"/>
          <w:b/>
          <w:bCs/>
          <w:shd w:val="clear" w:color="auto" w:fill="FFFFFF"/>
        </w:rPr>
        <w:t>19 - Orientamento della Commissione sulle Azioni CEF”</w:t>
      </w:r>
    </w:p>
    <w:p w14:paraId="1AE3D414" w14:textId="77777777" w:rsidR="000C6189" w:rsidRPr="00F63DA4" w:rsidRDefault="000C6189" w:rsidP="000C6189">
      <w:pPr>
        <w:pStyle w:val="Didefault"/>
        <w:pBdr>
          <w:top w:val="single" w:sz="4" w:space="1" w:color="auto"/>
          <w:left w:val="single" w:sz="4" w:space="1" w:color="auto"/>
          <w:bottom w:val="single" w:sz="4" w:space="1" w:color="auto"/>
          <w:right w:val="single" w:sz="4" w:space="1" w:color="auto"/>
        </w:pBdr>
        <w:jc w:val="both"/>
        <w:rPr>
          <w:shd w:val="clear" w:color="auto" w:fill="FFFFFF"/>
        </w:rPr>
      </w:pPr>
      <w:r w:rsidRPr="00F63DA4">
        <w:rPr>
          <w:rFonts w:ascii="Times New Roman" w:hAnsi="Times New Roman"/>
          <w:shd w:val="clear" w:color="auto" w:fill="FFFFFF"/>
        </w:rPr>
        <w:t xml:space="preserve">Nell’ambito della situazione di emergenza sanitaria ed economica causata dall’epidemia COVID-19 che ha colpito in modo significativo il settore dei trasporti, l’Italia, in una lettera congiunta con Germania, Francia e Spagna indirizzata alla Commissaria per i trasporti Adina </w:t>
      </w:r>
      <w:proofErr w:type="spellStart"/>
      <w:r w:rsidRPr="00F63DA4">
        <w:rPr>
          <w:rFonts w:ascii="Times New Roman" w:hAnsi="Times New Roman"/>
          <w:shd w:val="clear" w:color="auto" w:fill="FFFFFF"/>
        </w:rPr>
        <w:t>Vălean</w:t>
      </w:r>
      <w:proofErr w:type="spellEnd"/>
      <w:r w:rsidRPr="00F63DA4">
        <w:rPr>
          <w:rFonts w:ascii="Times New Roman" w:hAnsi="Times New Roman"/>
          <w:shd w:val="clear" w:color="auto" w:fill="FFFFFF"/>
        </w:rPr>
        <w:t xml:space="preserve">, ha evidenziato che le scadenze per l'attuazione dei progetti nell'ambito del meccanismo per collegare l'Europa 2014-2020, nonché per l'uso dei fondi (al 31/12/2023), potrebbero essere impattate in modo realistico e concreto e dovrebbero pertanto essere prorogate in coerenza con la situazione, non appena si potranno valutare gli effetti a breve e medio termine della crisi. In tale circostanza, la Commissione europea ha già annunciato misure di flessibilità da applicare alle procedure e ai progetti cofinanziati dal CEF, in particolare per quelli che hanno subito ritardi a seguito di circostanze eccezionali. Tra le principali misure disponibili rientrano: incrementi dei tassi di prefinanziamento, accelerazione delle procedure di valutazione delle rendicontazioni e la possibilità di un prefinanziamento supplementare straordinario ai beneficiari più colpiti. </w:t>
      </w:r>
    </w:p>
    <w:p w14:paraId="314BC414" w14:textId="77777777" w:rsidR="000C6189" w:rsidRDefault="000C6189" w:rsidP="000C6189">
      <w:pPr>
        <w:pStyle w:val="Paragrafoelenco"/>
        <w:ind w:left="0"/>
      </w:pPr>
    </w:p>
    <w:p w14:paraId="42AE11AD" w14:textId="77777777" w:rsidR="00C609A1" w:rsidRDefault="00732BF1" w:rsidP="00E05E8F">
      <w:pPr>
        <w:jc w:val="both"/>
      </w:pPr>
      <w:r>
        <w:t>A</w:t>
      </w:r>
      <w:r w:rsidR="00C6166A">
        <w:t xml:space="preserve">pprofondimenti </w:t>
      </w:r>
      <w:r>
        <w:t xml:space="preserve">analitici sui progetti co-finanziati e le </w:t>
      </w:r>
      <w:r w:rsidR="00D307B4">
        <w:t>Reti Transeuropee</w:t>
      </w:r>
      <w:r>
        <w:t xml:space="preserve"> nazionali </w:t>
      </w:r>
      <w:r w:rsidR="00C6166A">
        <w:t xml:space="preserve">sono disponibili nella cartella allegata al Conto denominata “Approfondimenti Reti TEN-T”. </w:t>
      </w:r>
      <w:bookmarkStart w:id="4" w:name="_Hlk38904838"/>
    </w:p>
    <w:p w14:paraId="2AE8EE98" w14:textId="77777777" w:rsidR="00BE04A6" w:rsidRDefault="00BE04A6" w:rsidP="00E05E8F">
      <w:pPr>
        <w:jc w:val="both"/>
      </w:pPr>
    </w:p>
    <w:p w14:paraId="45160167" w14:textId="77777777" w:rsidR="006B6EBB" w:rsidRDefault="00E05E8F" w:rsidP="00E05E8F">
      <w:pPr>
        <w:jc w:val="both"/>
        <w:rPr>
          <w:sz w:val="18"/>
          <w:szCs w:val="18"/>
        </w:rPr>
      </w:pPr>
      <w:proofErr w:type="spellStart"/>
      <w:r w:rsidRPr="000C5475">
        <w:rPr>
          <w:b/>
          <w:bCs/>
        </w:rPr>
        <w:lastRenderedPageBreak/>
        <w:t>Tab</w:t>
      </w:r>
      <w:proofErr w:type="spellEnd"/>
      <w:r w:rsidRPr="000C5475">
        <w:rPr>
          <w:b/>
          <w:bCs/>
        </w:rPr>
        <w:t>. XI.</w:t>
      </w:r>
      <w:r w:rsidR="004E1261" w:rsidRPr="000C5475">
        <w:rPr>
          <w:b/>
          <w:bCs/>
        </w:rPr>
        <w:t>4.</w:t>
      </w:r>
      <w:r w:rsidRPr="000C5475">
        <w:rPr>
          <w:b/>
          <w:bCs/>
        </w:rPr>
        <w:t>5.1 - Azioni CEF 2014-2020</w:t>
      </w:r>
      <w:r w:rsidRPr="000C5475">
        <w:rPr>
          <w:rStyle w:val="Rimandonotaapidipagina"/>
        </w:rPr>
        <w:t>(1)</w:t>
      </w:r>
      <w:r w:rsidRPr="000C5475">
        <w:rPr>
          <w:b/>
          <w:bCs/>
        </w:rPr>
        <w:t xml:space="preserve"> - </w:t>
      </w:r>
      <w:proofErr w:type="gramStart"/>
      <w:r w:rsidRPr="000C5475">
        <w:rPr>
          <w:b/>
          <w:bCs/>
        </w:rPr>
        <w:t>Aprile</w:t>
      </w:r>
      <w:proofErr w:type="gramEnd"/>
      <w:r w:rsidRPr="000C5475">
        <w:rPr>
          <w:b/>
          <w:bCs/>
        </w:rPr>
        <w:t xml:space="preserve"> 20</w:t>
      </w:r>
      <w:r w:rsidR="00343FB0" w:rsidRPr="000C5475">
        <w:rPr>
          <w:b/>
          <w:bCs/>
        </w:rPr>
        <w:t xml:space="preserve">20 </w:t>
      </w:r>
      <w:bookmarkEnd w:id="4"/>
    </w:p>
    <w:p w14:paraId="7840B17E" w14:textId="77777777" w:rsidR="00FC71E4" w:rsidRDefault="00FC71E4" w:rsidP="00E05E8F">
      <w:pPr>
        <w:jc w:val="both"/>
        <w:rPr>
          <w:sz w:val="18"/>
          <w:szCs w:val="18"/>
        </w:rPr>
      </w:pPr>
    </w:p>
    <w:tbl>
      <w:tblPr>
        <w:tblW w:w="10348" w:type="dxa"/>
        <w:tblInd w:w="-34" w:type="dxa"/>
        <w:tblLayout w:type="fixed"/>
        <w:tblCellMar>
          <w:bottom w:w="28" w:type="dxa"/>
        </w:tblCellMar>
        <w:tblLook w:val="06A0" w:firstRow="1" w:lastRow="0" w:firstColumn="1" w:lastColumn="0" w:noHBand="1" w:noVBand="1"/>
      </w:tblPr>
      <w:tblGrid>
        <w:gridCol w:w="476"/>
        <w:gridCol w:w="749"/>
        <w:gridCol w:w="19"/>
        <w:gridCol w:w="1116"/>
        <w:gridCol w:w="99"/>
        <w:gridCol w:w="12"/>
        <w:gridCol w:w="443"/>
        <w:gridCol w:w="23"/>
        <w:gridCol w:w="789"/>
        <w:gridCol w:w="110"/>
        <w:gridCol w:w="66"/>
        <w:gridCol w:w="803"/>
        <w:gridCol w:w="101"/>
        <w:gridCol w:w="56"/>
        <w:gridCol w:w="778"/>
        <w:gridCol w:w="168"/>
        <w:gridCol w:w="6"/>
        <w:gridCol w:w="37"/>
        <w:gridCol w:w="23"/>
        <w:gridCol w:w="710"/>
        <w:gridCol w:w="186"/>
        <w:gridCol w:w="72"/>
        <w:gridCol w:w="675"/>
        <w:gridCol w:w="31"/>
        <w:gridCol w:w="124"/>
        <w:gridCol w:w="21"/>
        <w:gridCol w:w="441"/>
        <w:gridCol w:w="248"/>
        <w:gridCol w:w="23"/>
        <w:gridCol w:w="149"/>
        <w:gridCol w:w="377"/>
        <w:gridCol w:w="39"/>
        <w:gridCol w:w="124"/>
        <w:gridCol w:w="714"/>
        <w:gridCol w:w="128"/>
        <w:gridCol w:w="8"/>
        <w:gridCol w:w="404"/>
      </w:tblGrid>
      <w:tr w:rsidR="00B326C9" w:rsidRPr="00922A9B" w14:paraId="6DD5DC4B" w14:textId="77777777" w:rsidTr="00C56F61">
        <w:trPr>
          <w:trHeight w:val="397"/>
        </w:trPr>
        <w:tc>
          <w:tcPr>
            <w:tcW w:w="5000" w:type="pct"/>
            <w:gridSpan w:val="37"/>
            <w:tcBorders>
              <w:top w:val="single" w:sz="4" w:space="0" w:color="auto"/>
              <w:left w:val="nil"/>
              <w:bottom w:val="single" w:sz="4" w:space="0" w:color="auto"/>
            </w:tcBorders>
            <w:shd w:val="clear" w:color="auto" w:fill="auto"/>
            <w:noWrap/>
            <w:vAlign w:val="center"/>
            <w:hideMark/>
          </w:tcPr>
          <w:p w14:paraId="64E6303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16"/>
                <w:szCs w:val="16"/>
                <w:bdr w:val="none" w:sz="0" w:space="0" w:color="auto"/>
                <w:lang w:val="en-GB" w:eastAsia="en-GB"/>
              </w:rPr>
            </w:pPr>
            <w:proofErr w:type="spellStart"/>
            <w:r w:rsidRPr="00922A9B">
              <w:rPr>
                <w:rFonts w:eastAsia="Times New Roman" w:cs="Times New Roman"/>
                <w:b/>
                <w:bCs/>
                <w:color w:val="auto"/>
                <w:sz w:val="16"/>
                <w:szCs w:val="16"/>
                <w:bdr w:val="none" w:sz="0" w:space="0" w:color="auto"/>
                <w:lang w:val="en-GB" w:eastAsia="en-GB"/>
              </w:rPr>
              <w:t>Modalità</w:t>
            </w:r>
            <w:proofErr w:type="spellEnd"/>
            <w:r w:rsidRPr="00922A9B">
              <w:rPr>
                <w:rFonts w:eastAsia="Times New Roman" w:cs="Times New Roman"/>
                <w:b/>
                <w:bCs/>
                <w:color w:val="auto"/>
                <w:sz w:val="16"/>
                <w:szCs w:val="16"/>
                <w:bdr w:val="none" w:sz="0" w:space="0" w:color="auto"/>
                <w:lang w:val="en-GB" w:eastAsia="en-GB"/>
              </w:rPr>
              <w:t xml:space="preserve">: </w:t>
            </w:r>
            <w:r>
              <w:rPr>
                <w:rFonts w:eastAsia="Times New Roman" w:cs="Times New Roman"/>
                <w:b/>
                <w:bCs/>
                <w:color w:val="auto"/>
                <w:sz w:val="16"/>
                <w:szCs w:val="16"/>
                <w:bdr w:val="none" w:sz="0" w:space="0" w:color="auto"/>
                <w:lang w:val="en-GB" w:eastAsia="en-GB"/>
              </w:rPr>
              <w:t>ERTMS</w:t>
            </w:r>
            <w:r w:rsidRPr="00200E5C">
              <w:rPr>
                <w:rFonts w:eastAsia="Times New Roman" w:cs="Times New Roman"/>
                <w:b/>
                <w:bCs/>
                <w:color w:val="auto"/>
                <w:sz w:val="16"/>
                <w:szCs w:val="16"/>
                <w:bdr w:val="none" w:sz="0" w:space="0" w:color="auto"/>
                <w:vertAlign w:val="superscript"/>
                <w:lang w:val="en-GB" w:eastAsia="en-GB"/>
              </w:rPr>
              <w:t>2</w:t>
            </w:r>
            <w:r>
              <w:rPr>
                <w:rFonts w:eastAsia="Times New Roman" w:cs="Times New Roman"/>
                <w:b/>
                <w:bCs/>
                <w:color w:val="auto"/>
                <w:sz w:val="16"/>
                <w:szCs w:val="16"/>
                <w:bdr w:val="none" w:sz="0" w:space="0" w:color="auto"/>
                <w:lang w:val="en-GB" w:eastAsia="en-GB"/>
              </w:rPr>
              <w:t xml:space="preserve"> / </w:t>
            </w:r>
            <w:r w:rsidRPr="00922A9B">
              <w:rPr>
                <w:rFonts w:eastAsia="Times New Roman" w:cs="Times New Roman"/>
                <w:b/>
                <w:bCs/>
                <w:color w:val="auto"/>
                <w:sz w:val="16"/>
                <w:szCs w:val="16"/>
                <w:bdr w:val="none" w:sz="0" w:space="0" w:color="auto"/>
                <w:lang w:val="en-GB" w:eastAsia="en-GB"/>
              </w:rPr>
              <w:t xml:space="preserve">FERROVIARIA </w:t>
            </w:r>
          </w:p>
        </w:tc>
      </w:tr>
      <w:tr w:rsidR="00B326C9" w:rsidRPr="00D868E4" w14:paraId="27DB10D4" w14:textId="77777777" w:rsidTr="00C56F61">
        <w:trPr>
          <w:cantSplit/>
          <w:trHeight w:val="1703"/>
        </w:trPr>
        <w:tc>
          <w:tcPr>
            <w:tcW w:w="230"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4071094E"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a. ID</w:t>
            </w:r>
          </w:p>
        </w:tc>
        <w:tc>
          <w:tcPr>
            <w:tcW w:w="362" w:type="pct"/>
            <w:tcBorders>
              <w:top w:val="single" w:sz="4" w:space="0" w:color="auto"/>
              <w:left w:val="nil"/>
              <w:bottom w:val="single" w:sz="4" w:space="0" w:color="auto"/>
              <w:right w:val="single" w:sz="4" w:space="0" w:color="auto"/>
            </w:tcBorders>
            <w:shd w:val="clear" w:color="auto" w:fill="auto"/>
            <w:textDirection w:val="btLr"/>
            <w:vAlign w:val="center"/>
            <w:hideMark/>
          </w:tcPr>
          <w:p w14:paraId="4B7ECA14"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b. Codice Azione</w:t>
            </w:r>
          </w:p>
        </w:tc>
        <w:tc>
          <w:tcPr>
            <w:tcW w:w="548"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5A1B4BD0"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c. Titolo Azione</w:t>
            </w:r>
          </w:p>
        </w:tc>
        <w:tc>
          <w:tcPr>
            <w:tcW w:w="268" w:type="pct"/>
            <w:gridSpan w:val="3"/>
            <w:tcBorders>
              <w:top w:val="single" w:sz="4" w:space="0" w:color="auto"/>
              <w:left w:val="nil"/>
              <w:bottom w:val="single" w:sz="4" w:space="0" w:color="auto"/>
              <w:right w:val="single" w:sz="4" w:space="0" w:color="auto"/>
            </w:tcBorders>
            <w:shd w:val="clear" w:color="auto" w:fill="auto"/>
            <w:noWrap/>
            <w:textDirection w:val="btLr"/>
            <w:vAlign w:val="center"/>
            <w:hideMark/>
          </w:tcPr>
          <w:p w14:paraId="64384FA4"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d. Data fine Azione</w:t>
            </w:r>
          </w:p>
        </w:tc>
        <w:tc>
          <w:tcPr>
            <w:tcW w:w="445"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5F5421B0"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e. Costo Azione IT</w:t>
            </w:r>
          </w:p>
          <w:p w14:paraId="399D5858" w14:textId="77777777" w:rsidR="00B326C9" w:rsidRPr="006362D4" w:rsidRDefault="00662B5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(k</w:t>
            </w:r>
            <w:r w:rsidR="00B326C9" w:rsidRPr="006362D4">
              <w:rPr>
                <w:rFonts w:eastAsia="Times New Roman" w:cs="Times New Roman"/>
                <w:b/>
                <w:bCs/>
                <w:color w:val="auto"/>
                <w:sz w:val="16"/>
                <w:szCs w:val="16"/>
                <w:bdr w:val="none" w:sz="0" w:space="0" w:color="auto"/>
                <w:lang w:eastAsia="en-GB"/>
              </w:rPr>
              <w:t>€)</w:t>
            </w:r>
            <w:r w:rsidR="00B326C9" w:rsidRPr="006362D4">
              <w:rPr>
                <w:rFonts w:eastAsia="Times New Roman" w:cs="Times New Roman"/>
                <w:b/>
                <w:bCs/>
                <w:color w:val="auto"/>
                <w:sz w:val="16"/>
                <w:szCs w:val="16"/>
                <w:bdr w:val="none" w:sz="0" w:space="0" w:color="auto"/>
                <w:vertAlign w:val="superscript"/>
                <w:lang w:eastAsia="en-GB"/>
              </w:rPr>
              <w:t>3</w:t>
            </w:r>
          </w:p>
        </w:tc>
        <w:tc>
          <w:tcPr>
            <w:tcW w:w="420"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64530806"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f. Contri</w:t>
            </w:r>
            <w:r w:rsidR="00662B51">
              <w:rPr>
                <w:rFonts w:eastAsia="Times New Roman" w:cs="Times New Roman"/>
                <w:b/>
                <w:bCs/>
                <w:color w:val="auto"/>
                <w:sz w:val="16"/>
                <w:szCs w:val="16"/>
                <w:bdr w:val="none" w:sz="0" w:space="0" w:color="auto"/>
                <w:lang w:eastAsia="en-GB"/>
              </w:rPr>
              <w:t>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4</w:t>
            </w:r>
          </w:p>
        </w:tc>
        <w:tc>
          <w:tcPr>
            <w:tcW w:w="452"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6067C923" w14:textId="77777777" w:rsidR="00B326C9" w:rsidRPr="006362D4" w:rsidRDefault="00662B5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g. Costo totale Azione (k</w:t>
            </w:r>
            <w:r w:rsidR="00B326C9" w:rsidRPr="006362D4">
              <w:rPr>
                <w:rFonts w:eastAsia="Times New Roman" w:cs="Times New Roman"/>
                <w:b/>
                <w:bCs/>
                <w:color w:val="auto"/>
                <w:sz w:val="16"/>
                <w:szCs w:val="16"/>
                <w:bdr w:val="none" w:sz="0" w:space="0" w:color="auto"/>
                <w:lang w:eastAsia="en-GB"/>
              </w:rPr>
              <w:t>€)</w:t>
            </w:r>
            <w:r w:rsidR="00B326C9" w:rsidRPr="006362D4">
              <w:rPr>
                <w:rFonts w:eastAsia="Times New Roman" w:cs="Times New Roman"/>
                <w:b/>
                <w:bCs/>
                <w:color w:val="auto"/>
                <w:sz w:val="16"/>
                <w:szCs w:val="16"/>
                <w:bdr w:val="none" w:sz="0" w:space="0" w:color="auto"/>
                <w:vertAlign w:val="superscript"/>
                <w:lang w:eastAsia="en-GB"/>
              </w:rPr>
              <w:t>5</w:t>
            </w:r>
          </w:p>
        </w:tc>
        <w:tc>
          <w:tcPr>
            <w:tcW w:w="456" w:type="pct"/>
            <w:gridSpan w:val="5"/>
            <w:tcBorders>
              <w:top w:val="single" w:sz="4" w:space="0" w:color="auto"/>
              <w:left w:val="nil"/>
              <w:bottom w:val="single" w:sz="4" w:space="0" w:color="auto"/>
              <w:right w:val="single" w:sz="4" w:space="0" w:color="auto"/>
            </w:tcBorders>
            <w:shd w:val="clear" w:color="auto" w:fill="auto"/>
            <w:textDirection w:val="btLr"/>
            <w:vAlign w:val="center"/>
            <w:hideMark/>
          </w:tcPr>
          <w:p w14:paraId="089C2054"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h. Contributo</w:t>
            </w:r>
            <w:r w:rsidR="00662B51">
              <w:rPr>
                <w:rFonts w:eastAsia="Times New Roman" w:cs="Times New Roman"/>
                <w:b/>
                <w:bCs/>
                <w:color w:val="auto"/>
                <w:sz w:val="16"/>
                <w:szCs w:val="16"/>
                <w:bdr w:val="none" w:sz="0" w:space="0" w:color="auto"/>
                <w:lang w:eastAsia="en-GB"/>
              </w:rPr>
              <w:t xml:space="preserve"> comunitario totale assegnato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6</w:t>
            </w:r>
          </w:p>
        </w:tc>
        <w:tc>
          <w:tcPr>
            <w:tcW w:w="451" w:type="pct"/>
            <w:gridSpan w:val="3"/>
            <w:tcBorders>
              <w:top w:val="single" w:sz="4" w:space="0" w:color="auto"/>
              <w:left w:val="nil"/>
              <w:bottom w:val="single" w:sz="4" w:space="0" w:color="auto"/>
              <w:right w:val="single" w:sz="4" w:space="0" w:color="auto"/>
            </w:tcBorders>
            <w:shd w:val="clear" w:color="auto" w:fill="auto"/>
            <w:textDirection w:val="btLr"/>
            <w:vAlign w:val="center"/>
            <w:hideMark/>
          </w:tcPr>
          <w:p w14:paraId="6890FD78"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i. Totale contributo comunitar</w:t>
            </w:r>
            <w:r w:rsidR="00767928">
              <w:rPr>
                <w:rFonts w:eastAsia="Times New Roman" w:cs="Times New Roman"/>
                <w:b/>
                <w:bCs/>
                <w:color w:val="auto"/>
                <w:sz w:val="16"/>
                <w:szCs w:val="16"/>
                <w:bdr w:val="none" w:sz="0" w:space="0" w:color="auto"/>
                <w:lang w:eastAsia="en-GB"/>
              </w:rPr>
              <w:t xml:space="preserve">io incassato IT al 30.04.2020 </w:t>
            </w:r>
            <w:r w:rsidR="00662B51">
              <w:rPr>
                <w:rFonts w:eastAsia="Times New Roman" w:cs="Times New Roman"/>
                <w:b/>
                <w:bCs/>
                <w:color w:val="auto"/>
                <w:sz w:val="16"/>
                <w:szCs w:val="16"/>
                <w:bdr w:val="none" w:sz="0" w:space="0" w:color="auto"/>
                <w:lang w:eastAsia="en-GB"/>
              </w:rPr>
              <w:t>(k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7</w:t>
            </w:r>
          </w:p>
        </w:tc>
        <w:tc>
          <w:tcPr>
            <w:tcW w:w="298" w:type="pct"/>
            <w:gridSpan w:val="4"/>
            <w:tcBorders>
              <w:top w:val="single" w:sz="4" w:space="0" w:color="auto"/>
              <w:left w:val="nil"/>
              <w:bottom w:val="single" w:sz="4" w:space="0" w:color="auto"/>
              <w:right w:val="single" w:sz="4" w:space="0" w:color="auto"/>
            </w:tcBorders>
            <w:shd w:val="clear" w:color="auto" w:fill="auto"/>
            <w:textDirection w:val="btLr"/>
            <w:vAlign w:val="center"/>
            <w:hideMark/>
          </w:tcPr>
          <w:p w14:paraId="1D58E553"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 xml:space="preserve">j. Contributo incassato rispetto al contributo assegnato </w:t>
            </w:r>
            <w:proofErr w:type="gramStart"/>
            <w:r w:rsidRPr="006362D4">
              <w:rPr>
                <w:rFonts w:eastAsia="Times New Roman" w:cs="Times New Roman"/>
                <w:b/>
                <w:bCs/>
                <w:color w:val="auto"/>
                <w:sz w:val="16"/>
                <w:szCs w:val="16"/>
                <w:bdr w:val="none" w:sz="0" w:space="0" w:color="auto"/>
                <w:lang w:eastAsia="en-GB"/>
              </w:rPr>
              <w:t>IT(</w:t>
            </w:r>
            <w:proofErr w:type="gramEnd"/>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8</w:t>
            </w:r>
          </w:p>
        </w:tc>
        <w:tc>
          <w:tcPr>
            <w:tcW w:w="464" w:type="pct"/>
            <w:gridSpan w:val="6"/>
            <w:tcBorders>
              <w:top w:val="single" w:sz="4" w:space="0" w:color="auto"/>
              <w:left w:val="nil"/>
              <w:bottom w:val="single" w:sz="4" w:space="0" w:color="auto"/>
              <w:right w:val="single" w:sz="4" w:space="0" w:color="auto"/>
            </w:tcBorders>
            <w:shd w:val="clear" w:color="auto" w:fill="auto"/>
            <w:textDirection w:val="btLr"/>
            <w:vAlign w:val="center"/>
            <w:hideMark/>
          </w:tcPr>
          <w:p w14:paraId="766256DF"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k. Varia</w:t>
            </w:r>
            <w:r w:rsidR="00662B51">
              <w:rPr>
                <w:rFonts w:eastAsia="Times New Roman" w:cs="Times New Roman"/>
                <w:b/>
                <w:bCs/>
                <w:color w:val="auto"/>
                <w:sz w:val="16"/>
                <w:szCs w:val="16"/>
                <w:bdr w:val="none" w:sz="0" w:space="0" w:color="auto"/>
                <w:lang w:eastAsia="en-GB"/>
              </w:rPr>
              <w:t xml:space="preserve">zione contributo </w:t>
            </w:r>
            <w:r w:rsidR="00767928">
              <w:rPr>
                <w:rFonts w:eastAsia="Times New Roman" w:cs="Times New Roman"/>
                <w:b/>
                <w:bCs/>
                <w:color w:val="auto"/>
                <w:sz w:val="16"/>
                <w:szCs w:val="16"/>
                <w:bdr w:val="none" w:sz="0" w:space="0" w:color="auto"/>
                <w:lang w:eastAsia="en-GB"/>
              </w:rPr>
              <w:t xml:space="preserve">comunitario </w:t>
            </w:r>
            <w:r w:rsidR="00662B51">
              <w:rPr>
                <w:rFonts w:eastAsia="Times New Roman" w:cs="Times New Roman"/>
                <w:b/>
                <w:bCs/>
                <w:color w:val="auto"/>
                <w:sz w:val="16"/>
                <w:szCs w:val="16"/>
                <w:bdr w:val="none" w:sz="0" w:space="0" w:color="auto"/>
                <w:lang w:eastAsia="en-GB"/>
              </w:rPr>
              <w:t>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9</w:t>
            </w:r>
          </w:p>
        </w:tc>
        <w:tc>
          <w:tcPr>
            <w:tcW w:w="407"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35ABB248"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l. Importo speso IT al 31/12/</w:t>
            </w:r>
            <w:proofErr w:type="gramStart"/>
            <w:r w:rsidRPr="006362D4">
              <w:rPr>
                <w:rFonts w:eastAsia="Times New Roman" w:cs="Times New Roman"/>
                <w:b/>
                <w:bCs/>
                <w:color w:val="auto"/>
                <w:sz w:val="16"/>
                <w:szCs w:val="16"/>
                <w:bdr w:val="none" w:sz="0" w:space="0" w:color="auto"/>
                <w:lang w:eastAsia="en-GB"/>
              </w:rPr>
              <w:t>1</w:t>
            </w:r>
            <w:r w:rsidR="00724E74">
              <w:rPr>
                <w:rFonts w:eastAsia="Times New Roman" w:cs="Times New Roman"/>
                <w:b/>
                <w:bCs/>
                <w:color w:val="auto"/>
                <w:sz w:val="16"/>
                <w:szCs w:val="16"/>
                <w:bdr w:val="none" w:sz="0" w:space="0" w:color="auto"/>
                <w:lang w:eastAsia="en-GB"/>
              </w:rPr>
              <w:t>9</w:t>
            </w:r>
            <w:r w:rsidR="00662B51">
              <w:rPr>
                <w:rFonts w:eastAsia="Times New Roman" w:cs="Times New Roman"/>
                <w:b/>
                <w:bCs/>
                <w:color w:val="auto"/>
                <w:sz w:val="16"/>
                <w:szCs w:val="16"/>
                <w:bdr w:val="none" w:sz="0" w:space="0" w:color="auto"/>
                <w:lang w:eastAsia="en-GB"/>
              </w:rPr>
              <w:t xml:space="preserve"> </w:t>
            </w:r>
            <w:r w:rsidR="00767928">
              <w:rPr>
                <w:rFonts w:eastAsia="Times New Roman" w:cs="Times New Roman"/>
                <w:b/>
                <w:bCs/>
                <w:color w:val="auto"/>
                <w:sz w:val="16"/>
                <w:szCs w:val="16"/>
                <w:bdr w:val="none" w:sz="0" w:space="0" w:color="auto"/>
                <w:lang w:eastAsia="en-GB"/>
              </w:rPr>
              <w:t xml:space="preserve"> </w:t>
            </w:r>
            <w:r w:rsidR="00662B51">
              <w:rPr>
                <w:rFonts w:eastAsia="Times New Roman" w:cs="Times New Roman"/>
                <w:b/>
                <w:bCs/>
                <w:color w:val="auto"/>
                <w:sz w:val="16"/>
                <w:szCs w:val="16"/>
                <w:bdr w:val="none" w:sz="0" w:space="0" w:color="auto"/>
                <w:lang w:eastAsia="en-GB"/>
              </w:rPr>
              <w:t>incluse</w:t>
            </w:r>
            <w:proofErr w:type="gramEnd"/>
            <w:r w:rsidR="00662B51">
              <w:rPr>
                <w:rFonts w:eastAsia="Times New Roman" w:cs="Times New Roman"/>
                <w:b/>
                <w:bCs/>
                <w:color w:val="auto"/>
                <w:sz w:val="16"/>
                <w:szCs w:val="16"/>
                <w:bdr w:val="none" w:sz="0" w:space="0" w:color="auto"/>
                <w:lang w:eastAsia="en-GB"/>
              </w:rPr>
              <w:t xml:space="preserve"> le quote nazionali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10</w:t>
            </w:r>
          </w:p>
        </w:tc>
        <w:tc>
          <w:tcPr>
            <w:tcW w:w="199" w:type="pct"/>
            <w:gridSpan w:val="2"/>
            <w:tcBorders>
              <w:top w:val="single" w:sz="4" w:space="0" w:color="auto"/>
              <w:left w:val="nil"/>
              <w:bottom w:val="single" w:sz="4" w:space="0" w:color="auto"/>
            </w:tcBorders>
            <w:shd w:val="clear" w:color="auto" w:fill="auto"/>
            <w:textDirection w:val="btLr"/>
            <w:vAlign w:val="center"/>
            <w:hideMark/>
          </w:tcPr>
          <w:p w14:paraId="16E34502" w14:textId="77777777" w:rsidR="00B326C9" w:rsidRPr="006362D4"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m. Avanzamento %</w:t>
            </w:r>
            <w:r w:rsidR="00B326C9" w:rsidRPr="006362D4">
              <w:rPr>
                <w:rFonts w:eastAsia="Times New Roman" w:cs="Times New Roman"/>
                <w:b/>
                <w:bCs/>
                <w:color w:val="auto"/>
                <w:sz w:val="16"/>
                <w:szCs w:val="16"/>
                <w:bdr w:val="none" w:sz="0" w:space="0" w:color="auto"/>
                <w:vertAlign w:val="superscript"/>
                <w:lang w:eastAsia="en-GB"/>
              </w:rPr>
              <w:t>11</w:t>
            </w:r>
          </w:p>
        </w:tc>
      </w:tr>
      <w:tr w:rsidR="00B326C9" w:rsidRPr="00922A9B" w14:paraId="4E811492" w14:textId="77777777" w:rsidTr="00C56F61">
        <w:trPr>
          <w:trHeight w:val="1210"/>
        </w:trPr>
        <w:tc>
          <w:tcPr>
            <w:tcW w:w="230" w:type="pct"/>
            <w:tcBorders>
              <w:top w:val="nil"/>
              <w:left w:val="nil"/>
              <w:bottom w:val="single" w:sz="4" w:space="0" w:color="auto"/>
              <w:right w:val="single" w:sz="4" w:space="0" w:color="auto"/>
            </w:tcBorders>
            <w:shd w:val="clear" w:color="auto" w:fill="auto"/>
            <w:noWrap/>
            <w:vAlign w:val="center"/>
          </w:tcPr>
          <w:p w14:paraId="1A216A3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w:t>
            </w:r>
          </w:p>
        </w:tc>
        <w:tc>
          <w:tcPr>
            <w:tcW w:w="362" w:type="pct"/>
            <w:tcBorders>
              <w:top w:val="nil"/>
              <w:left w:val="nil"/>
              <w:bottom w:val="single" w:sz="4" w:space="0" w:color="auto"/>
              <w:right w:val="single" w:sz="4" w:space="0" w:color="auto"/>
            </w:tcBorders>
            <w:shd w:val="clear" w:color="auto" w:fill="auto"/>
            <w:vAlign w:val="center"/>
          </w:tcPr>
          <w:p w14:paraId="0EF4614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2014-DE-TM-0299</w:t>
            </w:r>
            <w:r w:rsidR="00B65419">
              <w:rPr>
                <w:rFonts w:eastAsia="Times New Roman" w:cs="Times New Roman"/>
                <w:color w:val="auto"/>
                <w:sz w:val="16"/>
                <w:szCs w:val="16"/>
                <w:bdr w:val="none" w:sz="0" w:space="0" w:color="auto"/>
                <w:lang w:val="en-GB" w:eastAsia="en-GB"/>
              </w:rPr>
              <w:t xml:space="preserve">   </w:t>
            </w:r>
            <w:r>
              <w:rPr>
                <w:rFonts w:eastAsia="Times New Roman" w:cs="Times New Roman"/>
                <w:color w:val="auto"/>
                <w:sz w:val="16"/>
                <w:szCs w:val="16"/>
                <w:bdr w:val="none" w:sz="0" w:space="0" w:color="auto"/>
                <w:lang w:val="en-GB" w:eastAsia="en-GB"/>
              </w:rPr>
              <w:t>-S</w:t>
            </w:r>
            <w:r w:rsidRPr="002E17CB">
              <w:rPr>
                <w:rFonts w:eastAsia="Times New Roman" w:cs="Times New Roman"/>
                <w:color w:val="auto"/>
                <w:sz w:val="16"/>
                <w:szCs w:val="16"/>
                <w:bdr w:val="none" w:sz="0" w:space="0" w:color="auto"/>
                <w:vertAlign w:val="superscript"/>
                <w:lang w:val="en-GB" w:eastAsia="en-GB"/>
              </w:rPr>
              <w:t>12</w:t>
            </w:r>
          </w:p>
        </w:tc>
        <w:tc>
          <w:tcPr>
            <w:tcW w:w="548" w:type="pct"/>
            <w:gridSpan w:val="2"/>
            <w:tcBorders>
              <w:top w:val="nil"/>
              <w:left w:val="nil"/>
              <w:bottom w:val="single" w:sz="4" w:space="0" w:color="auto"/>
              <w:right w:val="single" w:sz="4" w:space="0" w:color="auto"/>
            </w:tcBorders>
            <w:shd w:val="clear" w:color="auto" w:fill="auto"/>
            <w:vAlign w:val="center"/>
          </w:tcPr>
          <w:p w14:paraId="5043A09A" w14:textId="77777777" w:rsidR="00B326C9" w:rsidRPr="00922A9B" w:rsidRDefault="00B326C9" w:rsidP="008B59FB">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Supporto e coordinamento del corridoio merci ferroviario Reno –Alpi </w:t>
            </w:r>
            <w:r w:rsidR="008B59FB">
              <w:rPr>
                <w:rFonts w:eastAsia="Times New Roman" w:cs="Times New Roman"/>
                <w:color w:val="auto"/>
                <w:sz w:val="16"/>
                <w:szCs w:val="16"/>
                <w:bdr w:val="none" w:sz="0" w:space="0" w:color="auto"/>
                <w:lang w:eastAsia="en-GB"/>
              </w:rPr>
              <w:t>volto alla sostenibilità di</w:t>
            </w:r>
            <w:r>
              <w:rPr>
                <w:rFonts w:eastAsia="Times New Roman" w:cs="Times New Roman"/>
                <w:color w:val="auto"/>
                <w:sz w:val="16"/>
                <w:szCs w:val="16"/>
                <w:bdr w:val="none" w:sz="0" w:space="0" w:color="auto"/>
                <w:lang w:eastAsia="en-GB"/>
              </w:rPr>
              <w:t xml:space="preserve"> lungo termine</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tcPr>
          <w:p w14:paraId="4D75114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31/12/18</w:t>
            </w:r>
          </w:p>
        </w:tc>
        <w:tc>
          <w:tcPr>
            <w:tcW w:w="445" w:type="pct"/>
            <w:gridSpan w:val="3"/>
            <w:tcBorders>
              <w:top w:val="nil"/>
              <w:left w:val="nil"/>
              <w:bottom w:val="single" w:sz="4" w:space="0" w:color="auto"/>
              <w:right w:val="single" w:sz="4" w:space="0" w:color="auto"/>
            </w:tcBorders>
            <w:shd w:val="clear" w:color="auto" w:fill="auto"/>
            <w:noWrap/>
            <w:vAlign w:val="center"/>
          </w:tcPr>
          <w:p w14:paraId="1F25C39E" w14:textId="77777777" w:rsidR="00B326C9" w:rsidRPr="002E17CB" w:rsidRDefault="00B326C9" w:rsidP="00767928">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20" w:type="pct"/>
            <w:gridSpan w:val="2"/>
            <w:tcBorders>
              <w:top w:val="nil"/>
              <w:left w:val="nil"/>
              <w:bottom w:val="single" w:sz="4" w:space="0" w:color="auto"/>
              <w:right w:val="single" w:sz="4" w:space="0" w:color="auto"/>
            </w:tcBorders>
            <w:shd w:val="clear" w:color="auto" w:fill="auto"/>
            <w:noWrap/>
            <w:vAlign w:val="center"/>
          </w:tcPr>
          <w:p w14:paraId="06CE358E" w14:textId="77777777" w:rsidR="00B326C9" w:rsidRPr="002E17CB" w:rsidRDefault="00B326C9" w:rsidP="00767928">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52" w:type="pct"/>
            <w:gridSpan w:val="3"/>
            <w:tcBorders>
              <w:top w:val="nil"/>
              <w:left w:val="nil"/>
              <w:bottom w:val="single" w:sz="4" w:space="0" w:color="auto"/>
              <w:right w:val="single" w:sz="4" w:space="0" w:color="auto"/>
            </w:tcBorders>
            <w:shd w:val="clear" w:color="auto" w:fill="auto"/>
            <w:noWrap/>
            <w:vAlign w:val="center"/>
          </w:tcPr>
          <w:p w14:paraId="2FE9420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5.710</w:t>
            </w:r>
          </w:p>
        </w:tc>
        <w:tc>
          <w:tcPr>
            <w:tcW w:w="456" w:type="pct"/>
            <w:gridSpan w:val="5"/>
            <w:tcBorders>
              <w:top w:val="nil"/>
              <w:left w:val="nil"/>
              <w:bottom w:val="single" w:sz="4" w:space="0" w:color="auto"/>
              <w:right w:val="single" w:sz="4" w:space="0" w:color="auto"/>
            </w:tcBorders>
            <w:shd w:val="clear" w:color="auto" w:fill="auto"/>
            <w:noWrap/>
            <w:vAlign w:val="center"/>
          </w:tcPr>
          <w:p w14:paraId="2297F92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2.855</w:t>
            </w:r>
          </w:p>
        </w:tc>
        <w:tc>
          <w:tcPr>
            <w:tcW w:w="451" w:type="pct"/>
            <w:gridSpan w:val="3"/>
            <w:tcBorders>
              <w:top w:val="nil"/>
              <w:left w:val="nil"/>
              <w:bottom w:val="single" w:sz="4" w:space="0" w:color="auto"/>
              <w:right w:val="single" w:sz="4" w:space="0" w:color="auto"/>
            </w:tcBorders>
            <w:shd w:val="clear" w:color="auto" w:fill="auto"/>
            <w:noWrap/>
            <w:vAlign w:val="center"/>
          </w:tcPr>
          <w:p w14:paraId="3B3D9CB1" w14:textId="77777777" w:rsidR="00B326C9" w:rsidRPr="002E17CB" w:rsidRDefault="00B326C9" w:rsidP="00767928">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298" w:type="pct"/>
            <w:gridSpan w:val="4"/>
            <w:tcBorders>
              <w:top w:val="nil"/>
              <w:left w:val="nil"/>
              <w:bottom w:val="single" w:sz="4" w:space="0" w:color="auto"/>
              <w:right w:val="single" w:sz="4" w:space="0" w:color="auto"/>
            </w:tcBorders>
            <w:shd w:val="clear" w:color="auto" w:fill="auto"/>
            <w:noWrap/>
            <w:vAlign w:val="center"/>
          </w:tcPr>
          <w:p w14:paraId="45B0F822"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90"/>
              <w:jc w:val="center"/>
              <w:rPr>
                <w:sz w:val="16"/>
                <w:szCs w:val="16"/>
              </w:rPr>
            </w:pPr>
            <w:r>
              <w:rPr>
                <w:sz w:val="16"/>
                <w:szCs w:val="16"/>
              </w:rPr>
              <w:t>n.a.</w:t>
            </w:r>
          </w:p>
        </w:tc>
        <w:tc>
          <w:tcPr>
            <w:tcW w:w="464" w:type="pct"/>
            <w:gridSpan w:val="6"/>
            <w:tcBorders>
              <w:top w:val="nil"/>
              <w:left w:val="nil"/>
              <w:bottom w:val="single" w:sz="4" w:space="0" w:color="auto"/>
              <w:right w:val="single" w:sz="4" w:space="0" w:color="auto"/>
            </w:tcBorders>
            <w:shd w:val="clear" w:color="auto" w:fill="auto"/>
            <w:vAlign w:val="center"/>
          </w:tcPr>
          <w:p w14:paraId="312C1548" w14:textId="77777777" w:rsidR="00B326C9" w:rsidRPr="002E17CB"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07" w:type="pct"/>
            <w:gridSpan w:val="2"/>
            <w:tcBorders>
              <w:top w:val="nil"/>
              <w:left w:val="nil"/>
              <w:bottom w:val="single" w:sz="4" w:space="0" w:color="auto"/>
              <w:right w:val="single" w:sz="4" w:space="0" w:color="auto"/>
            </w:tcBorders>
            <w:shd w:val="clear" w:color="auto" w:fill="auto"/>
            <w:vAlign w:val="center"/>
          </w:tcPr>
          <w:p w14:paraId="03393856"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199" w:type="pct"/>
            <w:gridSpan w:val="2"/>
            <w:tcBorders>
              <w:top w:val="nil"/>
              <w:left w:val="nil"/>
              <w:bottom w:val="single" w:sz="4" w:space="0" w:color="auto"/>
            </w:tcBorders>
            <w:shd w:val="clear" w:color="auto" w:fill="auto"/>
            <w:vAlign w:val="center"/>
          </w:tcPr>
          <w:p w14:paraId="4532F22A" w14:textId="77777777" w:rsidR="00B326C9" w:rsidRPr="002E17CB" w:rsidRDefault="00342EC8"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eastAsia="en-GB"/>
              </w:rPr>
            </w:pPr>
            <w:proofErr w:type="spellStart"/>
            <w:r>
              <w:rPr>
                <w:rFonts w:eastAsia="Times New Roman" w:cs="Times New Roman"/>
                <w:color w:val="auto"/>
                <w:sz w:val="16"/>
                <w:szCs w:val="16"/>
                <w:bdr w:val="none" w:sz="0" w:space="0" w:color="auto"/>
                <w:lang w:eastAsia="en-GB"/>
              </w:rPr>
              <w:t>n.d</w:t>
            </w:r>
            <w:r w:rsidR="00B326C9">
              <w:rPr>
                <w:rFonts w:eastAsia="Times New Roman" w:cs="Times New Roman"/>
                <w:color w:val="auto"/>
                <w:sz w:val="16"/>
                <w:szCs w:val="16"/>
                <w:bdr w:val="none" w:sz="0" w:space="0" w:color="auto"/>
                <w:lang w:eastAsia="en-GB"/>
              </w:rPr>
              <w:t>.</w:t>
            </w:r>
            <w:proofErr w:type="spellEnd"/>
          </w:p>
        </w:tc>
      </w:tr>
      <w:tr w:rsidR="00B326C9" w:rsidRPr="00922A9B" w14:paraId="2E14F58E" w14:textId="77777777" w:rsidTr="00C56F61">
        <w:trPr>
          <w:trHeight w:val="1210"/>
        </w:trPr>
        <w:tc>
          <w:tcPr>
            <w:tcW w:w="230" w:type="pct"/>
            <w:tcBorders>
              <w:top w:val="nil"/>
              <w:left w:val="nil"/>
              <w:bottom w:val="single" w:sz="4" w:space="0" w:color="auto"/>
              <w:right w:val="single" w:sz="4" w:space="0" w:color="auto"/>
            </w:tcBorders>
            <w:shd w:val="clear" w:color="auto" w:fill="auto"/>
            <w:noWrap/>
            <w:vAlign w:val="center"/>
            <w:hideMark/>
          </w:tcPr>
          <w:p w14:paraId="48FEF15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w:t>
            </w:r>
          </w:p>
        </w:tc>
        <w:tc>
          <w:tcPr>
            <w:tcW w:w="362" w:type="pct"/>
            <w:tcBorders>
              <w:top w:val="nil"/>
              <w:left w:val="nil"/>
              <w:bottom w:val="single" w:sz="4" w:space="0" w:color="auto"/>
              <w:right w:val="single" w:sz="4" w:space="0" w:color="auto"/>
            </w:tcBorders>
            <w:shd w:val="clear" w:color="auto" w:fill="auto"/>
            <w:vAlign w:val="center"/>
            <w:hideMark/>
          </w:tcPr>
          <w:p w14:paraId="777C86D1"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2014-EU-TA-0131</w:t>
            </w:r>
          </w:p>
          <w:p w14:paraId="7F4CEA5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2E17CB">
              <w:rPr>
                <w:rFonts w:eastAsia="Times New Roman" w:cs="Times New Roman"/>
                <w:color w:val="auto"/>
                <w:sz w:val="16"/>
                <w:szCs w:val="16"/>
                <w:bdr w:val="none" w:sz="0" w:space="0" w:color="auto"/>
                <w:vertAlign w:val="superscript"/>
                <w:lang w:val="en-GB" w:eastAsia="en-GB"/>
              </w:rPr>
              <w:t>13</w:t>
            </w:r>
          </w:p>
        </w:tc>
        <w:tc>
          <w:tcPr>
            <w:tcW w:w="548" w:type="pct"/>
            <w:gridSpan w:val="2"/>
            <w:tcBorders>
              <w:top w:val="nil"/>
              <w:left w:val="nil"/>
              <w:bottom w:val="single" w:sz="4" w:space="0" w:color="auto"/>
              <w:right w:val="single" w:sz="4" w:space="0" w:color="auto"/>
            </w:tcBorders>
            <w:shd w:val="clear" w:color="auto" w:fill="auto"/>
            <w:vAlign w:val="center"/>
            <w:hideMark/>
          </w:tcPr>
          <w:p w14:paraId="44C6494B"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ERFLS: Sistema europeo di trasporto ferroviario merci sul Cor</w:t>
            </w:r>
            <w:r>
              <w:rPr>
                <w:rFonts w:eastAsia="Times New Roman" w:cs="Times New Roman"/>
                <w:color w:val="auto"/>
                <w:sz w:val="16"/>
                <w:szCs w:val="16"/>
                <w:bdr w:val="none" w:sz="0" w:space="0" w:color="auto"/>
                <w:lang w:eastAsia="en-GB"/>
              </w:rPr>
              <w:t>ridoio Reno - Alpi</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05F6A5A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30/11/18</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623EB91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505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1B504A2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252</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723991F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1.173</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25A245E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586</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5D60117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252</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498B1A0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right="-90"/>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100</w:t>
            </w:r>
          </w:p>
        </w:tc>
        <w:tc>
          <w:tcPr>
            <w:tcW w:w="464" w:type="pct"/>
            <w:gridSpan w:val="6"/>
            <w:tcBorders>
              <w:top w:val="nil"/>
              <w:left w:val="nil"/>
              <w:bottom w:val="single" w:sz="4" w:space="0" w:color="auto"/>
              <w:right w:val="single" w:sz="4" w:space="0" w:color="auto"/>
            </w:tcBorders>
            <w:shd w:val="clear" w:color="auto" w:fill="auto"/>
            <w:vAlign w:val="center"/>
          </w:tcPr>
          <w:p w14:paraId="7872A541"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hideMark/>
          </w:tcPr>
          <w:p w14:paraId="613AB49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505 </w:t>
            </w:r>
          </w:p>
        </w:tc>
        <w:tc>
          <w:tcPr>
            <w:tcW w:w="199" w:type="pct"/>
            <w:gridSpan w:val="2"/>
            <w:tcBorders>
              <w:top w:val="nil"/>
              <w:left w:val="nil"/>
              <w:bottom w:val="single" w:sz="4" w:space="0" w:color="auto"/>
            </w:tcBorders>
            <w:shd w:val="clear" w:color="auto" w:fill="auto"/>
            <w:vAlign w:val="center"/>
            <w:hideMark/>
          </w:tcPr>
          <w:p w14:paraId="242EAFA4"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78"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w:t>
            </w:r>
            <w:r w:rsidRPr="00FE0BA0">
              <w:rPr>
                <w:rFonts w:eastAsia="Times New Roman" w:cs="Times New Roman"/>
                <w:color w:val="auto"/>
                <w:sz w:val="16"/>
                <w:szCs w:val="16"/>
                <w:bdr w:val="none" w:sz="0" w:space="0" w:color="auto"/>
                <w:lang w:val="en-GB" w:eastAsia="en-GB"/>
              </w:rPr>
              <w:t>00</w:t>
            </w:r>
          </w:p>
        </w:tc>
      </w:tr>
      <w:tr w:rsidR="00B326C9" w:rsidRPr="00922A9B" w14:paraId="2B393929" w14:textId="77777777" w:rsidTr="00C56F61">
        <w:trPr>
          <w:trHeight w:val="1899"/>
        </w:trPr>
        <w:tc>
          <w:tcPr>
            <w:tcW w:w="230" w:type="pct"/>
            <w:tcBorders>
              <w:top w:val="nil"/>
              <w:left w:val="nil"/>
              <w:bottom w:val="single" w:sz="4" w:space="0" w:color="auto"/>
              <w:right w:val="single" w:sz="4" w:space="0" w:color="auto"/>
            </w:tcBorders>
            <w:shd w:val="clear" w:color="auto" w:fill="auto"/>
            <w:noWrap/>
            <w:vAlign w:val="center"/>
            <w:hideMark/>
          </w:tcPr>
          <w:p w14:paraId="751D0D4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w:t>
            </w:r>
          </w:p>
        </w:tc>
        <w:tc>
          <w:tcPr>
            <w:tcW w:w="362" w:type="pct"/>
            <w:tcBorders>
              <w:top w:val="nil"/>
              <w:left w:val="nil"/>
              <w:bottom w:val="single" w:sz="4" w:space="0" w:color="auto"/>
              <w:right w:val="single" w:sz="4" w:space="0" w:color="auto"/>
            </w:tcBorders>
            <w:shd w:val="clear" w:color="auto" w:fill="auto"/>
            <w:vAlign w:val="center"/>
            <w:hideMark/>
          </w:tcPr>
          <w:p w14:paraId="7693E5B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2014-EU-TM-0128</w:t>
            </w:r>
          </w:p>
          <w:p w14:paraId="22E1684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041D47">
              <w:rPr>
                <w:rFonts w:eastAsia="Times New Roman" w:cs="Times New Roman"/>
                <w:color w:val="auto"/>
                <w:sz w:val="16"/>
                <w:szCs w:val="16"/>
                <w:bdr w:val="none" w:sz="0" w:space="0" w:color="auto"/>
                <w:vertAlign w:val="superscript"/>
                <w:lang w:val="en-GB" w:eastAsia="en-GB"/>
              </w:rPr>
              <w:t>13</w:t>
            </w:r>
          </w:p>
        </w:tc>
        <w:tc>
          <w:tcPr>
            <w:tcW w:w="548" w:type="pct"/>
            <w:gridSpan w:val="2"/>
            <w:tcBorders>
              <w:top w:val="nil"/>
              <w:left w:val="nil"/>
              <w:bottom w:val="single" w:sz="4" w:space="0" w:color="auto"/>
              <w:right w:val="single" w:sz="4" w:space="0" w:color="auto"/>
            </w:tcBorders>
            <w:shd w:val="clear" w:color="auto" w:fill="auto"/>
            <w:vAlign w:val="center"/>
            <w:hideMark/>
          </w:tcPr>
          <w:p w14:paraId="3C6AB6A0" w14:textId="77777777" w:rsidR="00B326C9" w:rsidRPr="00B70F83" w:rsidRDefault="00B326C9" w:rsidP="00D160B5">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ERTMS HIPPOPS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r w:rsidR="00D160B5">
              <w:rPr>
                <w:rFonts w:eastAsia="Times New Roman" w:cs="Times New Roman"/>
                <w:color w:val="auto"/>
                <w:sz w:val="16"/>
                <w:szCs w:val="16"/>
                <w:bdr w:val="none" w:sz="0" w:space="0" w:color="auto"/>
                <w:lang w:eastAsia="en-GB"/>
              </w:rPr>
              <w:t>Studio per l’armonizza-zione d</w:t>
            </w:r>
            <w:r>
              <w:rPr>
                <w:rFonts w:eastAsia="Times New Roman" w:cs="Times New Roman"/>
                <w:color w:val="auto"/>
                <w:sz w:val="16"/>
                <w:szCs w:val="16"/>
                <w:bdr w:val="none" w:sz="0" w:space="0" w:color="auto"/>
                <w:lang w:eastAsia="en-GB"/>
              </w:rPr>
              <w:t>ell’</w:t>
            </w:r>
            <w:r w:rsidRPr="00922A9B">
              <w:rPr>
                <w:rFonts w:eastAsia="Times New Roman" w:cs="Times New Roman"/>
                <w:color w:val="auto"/>
                <w:sz w:val="16"/>
                <w:szCs w:val="16"/>
                <w:bdr w:val="none" w:sz="0" w:space="0" w:color="auto"/>
                <w:lang w:eastAsia="en-GB"/>
              </w:rPr>
              <w:t xml:space="preserve">ERTMS </w:t>
            </w:r>
            <w:r>
              <w:rPr>
                <w:rFonts w:eastAsia="Times New Roman" w:cs="Times New Roman"/>
                <w:color w:val="auto"/>
                <w:sz w:val="16"/>
                <w:szCs w:val="16"/>
                <w:bdr w:val="none" w:sz="0" w:space="0" w:color="auto"/>
                <w:lang w:eastAsia="en-GB"/>
              </w:rPr>
              <w:t xml:space="preserve">e lo sviluppo di </w:t>
            </w:r>
            <w:r w:rsidRPr="00922A9B">
              <w:rPr>
                <w:rFonts w:eastAsia="Times New Roman" w:cs="Times New Roman"/>
                <w:color w:val="auto"/>
                <w:sz w:val="16"/>
                <w:szCs w:val="16"/>
                <w:bdr w:val="none" w:sz="0" w:space="0" w:color="auto"/>
                <w:lang w:eastAsia="en-GB"/>
              </w:rPr>
              <w:t>procedure internazio</w:t>
            </w:r>
            <w:r>
              <w:rPr>
                <w:rFonts w:eastAsia="Times New Roman" w:cs="Times New Roman"/>
                <w:color w:val="auto"/>
                <w:sz w:val="16"/>
                <w:szCs w:val="16"/>
                <w:bdr w:val="none" w:sz="0" w:space="0" w:color="auto"/>
                <w:lang w:eastAsia="en-GB"/>
              </w:rPr>
              <w:t xml:space="preserve">nali per </w:t>
            </w:r>
            <w:r w:rsidRPr="00922A9B">
              <w:rPr>
                <w:rFonts w:eastAsia="Times New Roman" w:cs="Times New Roman"/>
                <w:color w:val="auto"/>
                <w:sz w:val="16"/>
                <w:szCs w:val="16"/>
                <w:bdr w:val="none" w:sz="0" w:space="0" w:color="auto"/>
                <w:lang w:eastAsia="en-GB"/>
              </w:rPr>
              <w:t>prodotti e sottosistemi</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64ECE68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30/11/17</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6F53963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 xml:space="preserve"> 477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74B5998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 xml:space="preserve"> 239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75CFFE6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 xml:space="preserve"> 1.060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475F82F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 xml:space="preserve"> 530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36303DE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 xml:space="preserve"> 239 </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73C4CB7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right="-90"/>
              <w:jc w:val="center"/>
              <w:rPr>
                <w:rFonts w:eastAsia="Times New Roman" w:cs="Times New Roman"/>
                <w:color w:val="auto"/>
                <w:sz w:val="16"/>
                <w:szCs w:val="16"/>
                <w:bdr w:val="none" w:sz="0" w:space="0" w:color="auto"/>
                <w:lang w:val="en-GB" w:eastAsia="en-GB"/>
              </w:rPr>
            </w:pPr>
            <w:r>
              <w:rPr>
                <w:sz w:val="16"/>
                <w:szCs w:val="16"/>
              </w:rPr>
              <w:t>100</w:t>
            </w:r>
          </w:p>
        </w:tc>
        <w:tc>
          <w:tcPr>
            <w:tcW w:w="464" w:type="pct"/>
            <w:gridSpan w:val="6"/>
            <w:tcBorders>
              <w:top w:val="nil"/>
              <w:left w:val="nil"/>
              <w:bottom w:val="single" w:sz="4" w:space="0" w:color="auto"/>
              <w:right w:val="single" w:sz="4" w:space="0" w:color="auto"/>
            </w:tcBorders>
            <w:shd w:val="clear" w:color="auto" w:fill="auto"/>
            <w:vAlign w:val="center"/>
          </w:tcPr>
          <w:p w14:paraId="5FBFA086"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 xml:space="preserve"> 9 </w:t>
            </w:r>
          </w:p>
        </w:tc>
        <w:tc>
          <w:tcPr>
            <w:tcW w:w="407" w:type="pct"/>
            <w:gridSpan w:val="2"/>
            <w:tcBorders>
              <w:top w:val="nil"/>
              <w:left w:val="nil"/>
              <w:bottom w:val="single" w:sz="4" w:space="0" w:color="auto"/>
              <w:right w:val="single" w:sz="4" w:space="0" w:color="auto"/>
            </w:tcBorders>
            <w:shd w:val="clear" w:color="auto" w:fill="auto"/>
            <w:vAlign w:val="center"/>
            <w:hideMark/>
          </w:tcPr>
          <w:p w14:paraId="557E295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 xml:space="preserve"> 477 </w:t>
            </w:r>
          </w:p>
        </w:tc>
        <w:tc>
          <w:tcPr>
            <w:tcW w:w="199" w:type="pct"/>
            <w:gridSpan w:val="2"/>
            <w:tcBorders>
              <w:top w:val="nil"/>
              <w:left w:val="nil"/>
              <w:bottom w:val="single" w:sz="4" w:space="0" w:color="auto"/>
            </w:tcBorders>
            <w:shd w:val="clear" w:color="auto" w:fill="auto"/>
            <w:vAlign w:val="center"/>
            <w:hideMark/>
          </w:tcPr>
          <w:p w14:paraId="6404E7B0"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w:t>
            </w:r>
            <w:r w:rsidRPr="00FE0BA0">
              <w:rPr>
                <w:rFonts w:eastAsia="Times New Roman" w:cs="Times New Roman"/>
                <w:color w:val="auto"/>
                <w:sz w:val="16"/>
                <w:szCs w:val="16"/>
                <w:bdr w:val="none" w:sz="0" w:space="0" w:color="auto"/>
                <w:lang w:val="en-GB" w:eastAsia="en-GB"/>
              </w:rPr>
              <w:t>00</w:t>
            </w:r>
          </w:p>
        </w:tc>
      </w:tr>
      <w:tr w:rsidR="00B326C9" w:rsidRPr="00922A9B" w14:paraId="05D5FD20" w14:textId="77777777" w:rsidTr="00C56F61">
        <w:trPr>
          <w:trHeight w:val="786"/>
        </w:trPr>
        <w:tc>
          <w:tcPr>
            <w:tcW w:w="230" w:type="pct"/>
            <w:tcBorders>
              <w:top w:val="nil"/>
              <w:left w:val="nil"/>
              <w:bottom w:val="single" w:sz="4" w:space="0" w:color="auto"/>
              <w:right w:val="single" w:sz="4" w:space="0" w:color="auto"/>
            </w:tcBorders>
            <w:shd w:val="clear" w:color="auto" w:fill="auto"/>
            <w:noWrap/>
            <w:vAlign w:val="center"/>
            <w:hideMark/>
          </w:tcPr>
          <w:p w14:paraId="4D5294C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4</w:t>
            </w:r>
          </w:p>
        </w:tc>
        <w:tc>
          <w:tcPr>
            <w:tcW w:w="362" w:type="pct"/>
            <w:tcBorders>
              <w:top w:val="nil"/>
              <w:left w:val="nil"/>
              <w:bottom w:val="single" w:sz="4" w:space="0" w:color="auto"/>
              <w:right w:val="single" w:sz="4" w:space="0" w:color="auto"/>
            </w:tcBorders>
            <w:shd w:val="clear" w:color="auto" w:fill="auto"/>
            <w:vAlign w:val="center"/>
            <w:hideMark/>
          </w:tcPr>
          <w:p w14:paraId="7422DA61"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2014-EU-TM-0186</w:t>
            </w:r>
          </w:p>
          <w:p w14:paraId="7820A2A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48" w:type="pct"/>
            <w:gridSpan w:val="2"/>
            <w:tcBorders>
              <w:top w:val="nil"/>
              <w:left w:val="nil"/>
              <w:bottom w:val="single" w:sz="4" w:space="0" w:color="auto"/>
              <w:right w:val="single" w:sz="4" w:space="0" w:color="auto"/>
            </w:tcBorders>
            <w:shd w:val="clear" w:color="auto" w:fill="auto"/>
            <w:vAlign w:val="center"/>
            <w:hideMark/>
          </w:tcPr>
          <w:p w14:paraId="170C3A88"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Tun</w:t>
            </w:r>
            <w:r>
              <w:rPr>
                <w:rFonts w:eastAsia="Times New Roman" w:cs="Times New Roman"/>
                <w:color w:val="auto"/>
                <w:sz w:val="16"/>
                <w:szCs w:val="16"/>
                <w:bdr w:val="none" w:sz="0" w:space="0" w:color="auto"/>
                <w:lang w:eastAsia="en-GB"/>
              </w:rPr>
              <w:t>nel di Base del Brennero - Studi</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4B2E3BD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47BB599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302.850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7967BFB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151.425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1C3246C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605.700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4FD28A8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302.850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5B191A0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77.877</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6D089F9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90"/>
              <w:jc w:val="center"/>
              <w:rPr>
                <w:rFonts w:eastAsia="Times New Roman" w:cs="Times New Roman"/>
                <w:color w:val="auto"/>
                <w:sz w:val="16"/>
                <w:szCs w:val="16"/>
                <w:bdr w:val="none" w:sz="0" w:space="0" w:color="auto"/>
                <w:lang w:val="en-GB" w:eastAsia="en-GB"/>
              </w:rPr>
            </w:pPr>
            <w:r>
              <w:rPr>
                <w:sz w:val="16"/>
                <w:szCs w:val="16"/>
              </w:rPr>
              <w:t xml:space="preserve"> 51,4</w:t>
            </w:r>
          </w:p>
        </w:tc>
        <w:tc>
          <w:tcPr>
            <w:tcW w:w="464" w:type="pct"/>
            <w:gridSpan w:val="6"/>
            <w:tcBorders>
              <w:top w:val="nil"/>
              <w:left w:val="nil"/>
              <w:bottom w:val="single" w:sz="4" w:space="0" w:color="auto"/>
              <w:right w:val="single" w:sz="4" w:space="0" w:color="auto"/>
            </w:tcBorders>
            <w:shd w:val="clear" w:color="auto" w:fill="auto"/>
            <w:vAlign w:val="center"/>
          </w:tcPr>
          <w:p w14:paraId="7EDE3E69"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hideMark/>
          </w:tcPr>
          <w:p w14:paraId="2F0D3FF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170.839</w:t>
            </w:r>
          </w:p>
        </w:tc>
        <w:tc>
          <w:tcPr>
            <w:tcW w:w="199" w:type="pct"/>
            <w:gridSpan w:val="2"/>
            <w:tcBorders>
              <w:top w:val="nil"/>
              <w:left w:val="nil"/>
              <w:bottom w:val="single" w:sz="4" w:space="0" w:color="auto"/>
            </w:tcBorders>
            <w:shd w:val="clear" w:color="auto" w:fill="auto"/>
            <w:vAlign w:val="center"/>
            <w:hideMark/>
          </w:tcPr>
          <w:p w14:paraId="2A5B2638"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65</w:t>
            </w:r>
          </w:p>
        </w:tc>
      </w:tr>
      <w:tr w:rsidR="00B326C9" w:rsidRPr="00922A9B" w14:paraId="244564F1" w14:textId="77777777" w:rsidTr="00C56F61">
        <w:trPr>
          <w:trHeight w:val="671"/>
        </w:trPr>
        <w:tc>
          <w:tcPr>
            <w:tcW w:w="230" w:type="pct"/>
            <w:tcBorders>
              <w:top w:val="nil"/>
              <w:left w:val="nil"/>
              <w:bottom w:val="single" w:sz="4" w:space="0" w:color="auto"/>
              <w:right w:val="single" w:sz="4" w:space="0" w:color="auto"/>
            </w:tcBorders>
            <w:shd w:val="clear" w:color="auto" w:fill="auto"/>
            <w:noWrap/>
            <w:vAlign w:val="center"/>
            <w:hideMark/>
          </w:tcPr>
          <w:p w14:paraId="7D5C72B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w:t>
            </w:r>
          </w:p>
        </w:tc>
        <w:tc>
          <w:tcPr>
            <w:tcW w:w="362" w:type="pct"/>
            <w:tcBorders>
              <w:top w:val="nil"/>
              <w:left w:val="nil"/>
              <w:bottom w:val="single" w:sz="4" w:space="0" w:color="auto"/>
              <w:right w:val="single" w:sz="4" w:space="0" w:color="auto"/>
            </w:tcBorders>
            <w:shd w:val="clear" w:color="auto" w:fill="auto"/>
            <w:vAlign w:val="center"/>
            <w:hideMark/>
          </w:tcPr>
          <w:p w14:paraId="5EAAACC0"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2014-EU-TM-0190</w:t>
            </w:r>
          </w:p>
          <w:p w14:paraId="54B237C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48" w:type="pct"/>
            <w:gridSpan w:val="2"/>
            <w:tcBorders>
              <w:top w:val="nil"/>
              <w:left w:val="nil"/>
              <w:bottom w:val="single" w:sz="4" w:space="0" w:color="auto"/>
              <w:right w:val="single" w:sz="4" w:space="0" w:color="auto"/>
            </w:tcBorders>
            <w:shd w:val="clear" w:color="auto" w:fill="auto"/>
            <w:vAlign w:val="center"/>
            <w:hideMark/>
          </w:tcPr>
          <w:p w14:paraId="541210E6"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Tunn</w:t>
            </w:r>
            <w:r>
              <w:rPr>
                <w:rFonts w:eastAsia="Times New Roman" w:cs="Times New Roman"/>
                <w:color w:val="auto"/>
                <w:sz w:val="16"/>
                <w:szCs w:val="16"/>
                <w:bdr w:val="none" w:sz="0" w:space="0" w:color="auto"/>
                <w:lang w:eastAsia="en-GB"/>
              </w:rPr>
              <w:t>el di Base del Brennero - Lavori</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541F385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4CC089C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1.098.300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1172E8B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439.320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0056A8A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2.196.600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178FA41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878.640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7C9604E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180.740</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224618B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90"/>
              <w:jc w:val="center"/>
              <w:rPr>
                <w:rFonts w:eastAsia="Times New Roman" w:cs="Times New Roman"/>
                <w:color w:val="auto"/>
                <w:sz w:val="16"/>
                <w:szCs w:val="16"/>
                <w:bdr w:val="none" w:sz="0" w:space="0" w:color="auto"/>
                <w:lang w:val="en-GB" w:eastAsia="en-GB"/>
              </w:rPr>
            </w:pPr>
            <w:r>
              <w:rPr>
                <w:sz w:val="16"/>
                <w:szCs w:val="16"/>
              </w:rPr>
              <w:t xml:space="preserve"> 41,1</w:t>
            </w:r>
          </w:p>
        </w:tc>
        <w:tc>
          <w:tcPr>
            <w:tcW w:w="464" w:type="pct"/>
            <w:gridSpan w:val="6"/>
            <w:tcBorders>
              <w:top w:val="nil"/>
              <w:left w:val="nil"/>
              <w:bottom w:val="single" w:sz="4" w:space="0" w:color="auto"/>
              <w:right w:val="single" w:sz="4" w:space="0" w:color="auto"/>
            </w:tcBorders>
            <w:shd w:val="clear" w:color="auto" w:fill="auto"/>
            <w:vAlign w:val="center"/>
          </w:tcPr>
          <w:p w14:paraId="762FF761"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hideMark/>
          </w:tcPr>
          <w:p w14:paraId="2932339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505.100</w:t>
            </w:r>
          </w:p>
        </w:tc>
        <w:tc>
          <w:tcPr>
            <w:tcW w:w="199" w:type="pct"/>
            <w:gridSpan w:val="2"/>
            <w:tcBorders>
              <w:top w:val="nil"/>
              <w:left w:val="nil"/>
              <w:bottom w:val="single" w:sz="4" w:space="0" w:color="auto"/>
            </w:tcBorders>
            <w:shd w:val="clear" w:color="auto" w:fill="auto"/>
            <w:vAlign w:val="center"/>
            <w:hideMark/>
          </w:tcPr>
          <w:p w14:paraId="05F1B1FA"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60</w:t>
            </w:r>
          </w:p>
        </w:tc>
      </w:tr>
      <w:tr w:rsidR="00B326C9" w:rsidRPr="00922A9B" w14:paraId="4A91E352" w14:textId="77777777" w:rsidTr="00C56F61">
        <w:trPr>
          <w:trHeight w:val="735"/>
        </w:trPr>
        <w:tc>
          <w:tcPr>
            <w:tcW w:w="230" w:type="pct"/>
            <w:tcBorders>
              <w:top w:val="nil"/>
              <w:left w:val="nil"/>
              <w:bottom w:val="single" w:sz="4" w:space="0" w:color="auto"/>
              <w:right w:val="single" w:sz="4" w:space="0" w:color="auto"/>
            </w:tcBorders>
            <w:shd w:val="clear" w:color="auto" w:fill="auto"/>
            <w:noWrap/>
            <w:vAlign w:val="center"/>
            <w:hideMark/>
          </w:tcPr>
          <w:p w14:paraId="153E2FF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w:t>
            </w:r>
          </w:p>
        </w:tc>
        <w:tc>
          <w:tcPr>
            <w:tcW w:w="362" w:type="pct"/>
            <w:tcBorders>
              <w:top w:val="nil"/>
              <w:left w:val="nil"/>
              <w:bottom w:val="single" w:sz="4" w:space="0" w:color="auto"/>
              <w:right w:val="single" w:sz="4" w:space="0" w:color="auto"/>
            </w:tcBorders>
            <w:shd w:val="clear" w:color="auto" w:fill="auto"/>
            <w:vAlign w:val="center"/>
            <w:hideMark/>
          </w:tcPr>
          <w:p w14:paraId="0DC2FC56"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2014-EU-TM-0279</w:t>
            </w:r>
          </w:p>
          <w:p w14:paraId="0C572E6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041D47">
              <w:rPr>
                <w:rFonts w:eastAsia="Times New Roman" w:cs="Times New Roman"/>
                <w:color w:val="auto"/>
                <w:sz w:val="16"/>
                <w:szCs w:val="16"/>
                <w:bdr w:val="none" w:sz="0" w:space="0" w:color="auto"/>
                <w:vertAlign w:val="superscript"/>
                <w:lang w:val="en-GB" w:eastAsia="en-GB"/>
              </w:rPr>
              <w:t>13</w:t>
            </w:r>
          </w:p>
        </w:tc>
        <w:tc>
          <w:tcPr>
            <w:tcW w:w="548" w:type="pct"/>
            <w:gridSpan w:val="2"/>
            <w:tcBorders>
              <w:top w:val="nil"/>
              <w:left w:val="nil"/>
              <w:bottom w:val="single" w:sz="4" w:space="0" w:color="auto"/>
              <w:right w:val="single" w:sz="4" w:space="0" w:color="auto"/>
            </w:tcBorders>
            <w:shd w:val="clear" w:color="auto" w:fill="auto"/>
            <w:vAlign w:val="center"/>
            <w:hideMark/>
          </w:tcPr>
          <w:p w14:paraId="079C2A58" w14:textId="77777777" w:rsidR="00B326C9" w:rsidRPr="00B70F83" w:rsidRDefault="00D477D8"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ERTMS -Supporto all'</w:t>
            </w:r>
            <w:proofErr w:type="spellStart"/>
            <w:r>
              <w:rPr>
                <w:rFonts w:eastAsia="Times New Roman" w:cs="Times New Roman"/>
                <w:color w:val="auto"/>
                <w:sz w:val="16"/>
                <w:szCs w:val="16"/>
                <w:bdr w:val="none" w:sz="0" w:space="0" w:color="auto"/>
                <w:lang w:eastAsia="en-GB"/>
              </w:rPr>
              <w:t>implemen-ta</w:t>
            </w:r>
            <w:r w:rsidR="00B326C9" w:rsidRPr="00DC2F35">
              <w:rPr>
                <w:rFonts w:eastAsia="Times New Roman" w:cs="Times New Roman"/>
                <w:color w:val="auto"/>
                <w:sz w:val="16"/>
                <w:szCs w:val="16"/>
                <w:bdr w:val="none" w:sz="0" w:space="0" w:color="auto"/>
                <w:lang w:eastAsia="en-GB"/>
              </w:rPr>
              <w:t>zione</w:t>
            </w:r>
            <w:proofErr w:type="spellEnd"/>
            <w:r w:rsidR="00B326C9" w:rsidRPr="00DC2F35">
              <w:rPr>
                <w:rFonts w:eastAsia="Times New Roman" w:cs="Times New Roman"/>
                <w:color w:val="auto"/>
                <w:sz w:val="16"/>
                <w:szCs w:val="16"/>
                <w:bdr w:val="none" w:sz="0" w:space="0" w:color="auto"/>
                <w:lang w:eastAsia="en-GB"/>
              </w:rPr>
              <w:t xml:space="preserve"> del Sistema ERTMS</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0D112E4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31/12/17</w:t>
            </w:r>
          </w:p>
        </w:tc>
        <w:tc>
          <w:tcPr>
            <w:tcW w:w="445" w:type="pct"/>
            <w:gridSpan w:val="3"/>
            <w:tcBorders>
              <w:top w:val="nil"/>
              <w:left w:val="nil"/>
              <w:bottom w:val="single" w:sz="4" w:space="0" w:color="auto"/>
              <w:right w:val="single" w:sz="4" w:space="0" w:color="auto"/>
            </w:tcBorders>
            <w:shd w:val="clear" w:color="auto" w:fill="auto"/>
            <w:noWrap/>
            <w:vAlign w:val="center"/>
          </w:tcPr>
          <w:p w14:paraId="672988D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w:t>
            </w:r>
            <w:r>
              <w:rPr>
                <w:rFonts w:eastAsia="Times New Roman" w:cs="Times New Roman"/>
                <w:color w:val="auto"/>
                <w:sz w:val="16"/>
                <w:szCs w:val="16"/>
                <w:bdr w:val="none" w:sz="0" w:space="0" w:color="auto"/>
                <w:lang w:val="en-GB" w:eastAsia="en-GB"/>
              </w:rPr>
              <w:t>1.309</w:t>
            </w:r>
          </w:p>
        </w:tc>
        <w:tc>
          <w:tcPr>
            <w:tcW w:w="420" w:type="pct"/>
            <w:gridSpan w:val="2"/>
            <w:tcBorders>
              <w:top w:val="nil"/>
              <w:left w:val="nil"/>
              <w:bottom w:val="single" w:sz="4" w:space="0" w:color="auto"/>
              <w:right w:val="single" w:sz="4" w:space="0" w:color="auto"/>
            </w:tcBorders>
            <w:shd w:val="clear" w:color="auto" w:fill="auto"/>
            <w:noWrap/>
            <w:vAlign w:val="center"/>
          </w:tcPr>
          <w:p w14:paraId="3F72EC7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654 </w:t>
            </w:r>
          </w:p>
        </w:tc>
        <w:tc>
          <w:tcPr>
            <w:tcW w:w="452" w:type="pct"/>
            <w:gridSpan w:val="3"/>
            <w:tcBorders>
              <w:top w:val="nil"/>
              <w:left w:val="nil"/>
              <w:bottom w:val="single" w:sz="4" w:space="0" w:color="auto"/>
              <w:right w:val="single" w:sz="4" w:space="0" w:color="auto"/>
            </w:tcBorders>
            <w:shd w:val="clear" w:color="auto" w:fill="auto"/>
            <w:noWrap/>
            <w:vAlign w:val="center"/>
          </w:tcPr>
          <w:p w14:paraId="36E6FEC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w:t>
            </w:r>
            <w:r>
              <w:rPr>
                <w:rFonts w:eastAsia="Times New Roman" w:cs="Times New Roman"/>
                <w:color w:val="auto"/>
                <w:sz w:val="16"/>
                <w:szCs w:val="16"/>
                <w:bdr w:val="none" w:sz="0" w:space="0" w:color="auto"/>
                <w:lang w:val="en-GB" w:eastAsia="en-GB"/>
              </w:rPr>
              <w:t xml:space="preserve"> 10.287</w:t>
            </w:r>
          </w:p>
        </w:tc>
        <w:tc>
          <w:tcPr>
            <w:tcW w:w="456" w:type="pct"/>
            <w:gridSpan w:val="5"/>
            <w:tcBorders>
              <w:top w:val="nil"/>
              <w:left w:val="nil"/>
              <w:bottom w:val="single" w:sz="4" w:space="0" w:color="auto"/>
              <w:right w:val="single" w:sz="4" w:space="0" w:color="auto"/>
            </w:tcBorders>
            <w:shd w:val="clear" w:color="auto" w:fill="auto"/>
            <w:noWrap/>
            <w:vAlign w:val="center"/>
          </w:tcPr>
          <w:p w14:paraId="56C8044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5.144 </w:t>
            </w:r>
          </w:p>
        </w:tc>
        <w:tc>
          <w:tcPr>
            <w:tcW w:w="451" w:type="pct"/>
            <w:gridSpan w:val="3"/>
            <w:tcBorders>
              <w:top w:val="nil"/>
              <w:left w:val="nil"/>
              <w:bottom w:val="single" w:sz="4" w:space="0" w:color="auto"/>
              <w:right w:val="single" w:sz="4" w:space="0" w:color="auto"/>
            </w:tcBorders>
            <w:shd w:val="clear" w:color="auto" w:fill="auto"/>
            <w:noWrap/>
            <w:vAlign w:val="center"/>
          </w:tcPr>
          <w:p w14:paraId="525A2E8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654 </w:t>
            </w:r>
          </w:p>
        </w:tc>
        <w:tc>
          <w:tcPr>
            <w:tcW w:w="298" w:type="pct"/>
            <w:gridSpan w:val="4"/>
            <w:tcBorders>
              <w:top w:val="nil"/>
              <w:left w:val="nil"/>
              <w:bottom w:val="single" w:sz="4" w:space="0" w:color="auto"/>
              <w:right w:val="single" w:sz="4" w:space="0" w:color="auto"/>
            </w:tcBorders>
            <w:shd w:val="clear" w:color="auto" w:fill="auto"/>
            <w:noWrap/>
            <w:vAlign w:val="center"/>
          </w:tcPr>
          <w:p w14:paraId="68B6E29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tabs>
                <w:tab w:val="left" w:pos="633"/>
              </w:tabs>
              <w:ind w:right="-90"/>
              <w:jc w:val="center"/>
              <w:rPr>
                <w:rFonts w:eastAsia="Times New Roman" w:cs="Times New Roman"/>
                <w:color w:val="auto"/>
                <w:sz w:val="16"/>
                <w:szCs w:val="16"/>
                <w:bdr w:val="none" w:sz="0" w:space="0" w:color="auto"/>
                <w:lang w:val="en-GB" w:eastAsia="en-GB"/>
              </w:rPr>
            </w:pPr>
            <w:r>
              <w:rPr>
                <w:sz w:val="16"/>
                <w:szCs w:val="16"/>
              </w:rPr>
              <w:t>100</w:t>
            </w:r>
          </w:p>
        </w:tc>
        <w:tc>
          <w:tcPr>
            <w:tcW w:w="464" w:type="pct"/>
            <w:gridSpan w:val="6"/>
            <w:tcBorders>
              <w:top w:val="nil"/>
              <w:left w:val="nil"/>
              <w:bottom w:val="single" w:sz="4" w:space="0" w:color="auto"/>
              <w:right w:val="single" w:sz="4" w:space="0" w:color="auto"/>
            </w:tcBorders>
            <w:shd w:val="clear" w:color="auto" w:fill="auto"/>
            <w:vAlign w:val="center"/>
          </w:tcPr>
          <w:p w14:paraId="4B2022AF"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 xml:space="preserve">53   </w:t>
            </w:r>
          </w:p>
        </w:tc>
        <w:tc>
          <w:tcPr>
            <w:tcW w:w="407" w:type="pct"/>
            <w:gridSpan w:val="2"/>
            <w:tcBorders>
              <w:top w:val="nil"/>
              <w:left w:val="nil"/>
              <w:bottom w:val="single" w:sz="4" w:space="0" w:color="auto"/>
              <w:right w:val="single" w:sz="4" w:space="0" w:color="auto"/>
            </w:tcBorders>
            <w:shd w:val="clear" w:color="auto" w:fill="auto"/>
            <w:vAlign w:val="center"/>
          </w:tcPr>
          <w:p w14:paraId="2ADF6D4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1.328</w:t>
            </w:r>
          </w:p>
        </w:tc>
        <w:tc>
          <w:tcPr>
            <w:tcW w:w="199" w:type="pct"/>
            <w:gridSpan w:val="2"/>
            <w:tcBorders>
              <w:top w:val="nil"/>
              <w:left w:val="nil"/>
              <w:bottom w:val="single" w:sz="4" w:space="0" w:color="auto"/>
            </w:tcBorders>
            <w:shd w:val="clear" w:color="auto" w:fill="auto"/>
            <w:vAlign w:val="center"/>
          </w:tcPr>
          <w:p w14:paraId="586F8D70"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sidRPr="00FE0BA0">
              <w:rPr>
                <w:rFonts w:eastAsia="Times New Roman" w:cs="Times New Roman"/>
                <w:color w:val="auto"/>
                <w:sz w:val="16"/>
                <w:szCs w:val="16"/>
                <w:bdr w:val="none" w:sz="0" w:space="0" w:color="auto"/>
                <w:lang w:val="en-GB" w:eastAsia="en-GB"/>
              </w:rPr>
              <w:t>100</w:t>
            </w:r>
          </w:p>
        </w:tc>
      </w:tr>
      <w:tr w:rsidR="00B326C9" w:rsidRPr="002E17CB" w14:paraId="019F70EA" w14:textId="77777777" w:rsidTr="00C56F61">
        <w:trPr>
          <w:trHeight w:val="428"/>
        </w:trPr>
        <w:tc>
          <w:tcPr>
            <w:tcW w:w="230" w:type="pct"/>
            <w:tcBorders>
              <w:top w:val="nil"/>
              <w:left w:val="nil"/>
              <w:bottom w:val="single" w:sz="4" w:space="0" w:color="auto"/>
              <w:right w:val="single" w:sz="4" w:space="0" w:color="auto"/>
            </w:tcBorders>
            <w:shd w:val="clear" w:color="auto" w:fill="auto"/>
            <w:noWrap/>
            <w:vAlign w:val="center"/>
            <w:hideMark/>
          </w:tcPr>
          <w:p w14:paraId="59CA8E4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w:t>
            </w:r>
          </w:p>
        </w:tc>
        <w:tc>
          <w:tcPr>
            <w:tcW w:w="362" w:type="pct"/>
            <w:tcBorders>
              <w:top w:val="nil"/>
              <w:left w:val="nil"/>
              <w:bottom w:val="single" w:sz="4" w:space="0" w:color="auto"/>
              <w:right w:val="single" w:sz="4" w:space="0" w:color="auto"/>
            </w:tcBorders>
            <w:shd w:val="clear" w:color="auto" w:fill="auto"/>
            <w:vAlign w:val="center"/>
            <w:hideMark/>
          </w:tcPr>
          <w:p w14:paraId="4AC09980"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2014-EU-TM-0335</w:t>
            </w:r>
          </w:p>
          <w:p w14:paraId="59CD925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31477F">
              <w:rPr>
                <w:rFonts w:eastAsia="Times New Roman" w:cs="Times New Roman"/>
                <w:color w:val="auto"/>
                <w:sz w:val="16"/>
                <w:szCs w:val="16"/>
                <w:bdr w:val="none" w:sz="0" w:space="0" w:color="auto"/>
                <w:lang w:val="en-GB" w:eastAsia="en-GB"/>
              </w:rPr>
              <w:t>-S</w:t>
            </w:r>
          </w:p>
        </w:tc>
        <w:tc>
          <w:tcPr>
            <w:tcW w:w="548" w:type="pct"/>
            <w:gridSpan w:val="2"/>
            <w:tcBorders>
              <w:top w:val="nil"/>
              <w:left w:val="nil"/>
              <w:bottom w:val="single" w:sz="4" w:space="0" w:color="auto"/>
              <w:right w:val="single" w:sz="4" w:space="0" w:color="auto"/>
            </w:tcBorders>
            <w:shd w:val="clear" w:color="auto" w:fill="auto"/>
            <w:vAlign w:val="center"/>
            <w:hideMark/>
          </w:tcPr>
          <w:p w14:paraId="3E73574A"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Studi e attività riguardanti la valorizzazione dell'offerta sul Corridoio ferroviario merci </w:t>
            </w:r>
            <w:r>
              <w:rPr>
                <w:rFonts w:eastAsia="Times New Roman" w:cs="Times New Roman"/>
                <w:color w:val="auto"/>
                <w:sz w:val="16"/>
                <w:szCs w:val="16"/>
                <w:bdr w:val="none" w:sz="0" w:space="0" w:color="auto"/>
                <w:lang w:eastAsia="en-GB"/>
              </w:rPr>
              <w:t>RFC</w:t>
            </w:r>
            <w:proofErr w:type="gramStart"/>
            <w:r w:rsidRPr="00922A9B">
              <w:rPr>
                <w:rFonts w:eastAsia="Times New Roman" w:cs="Times New Roman"/>
                <w:color w:val="auto"/>
                <w:sz w:val="16"/>
                <w:szCs w:val="16"/>
                <w:bdr w:val="none" w:sz="0" w:space="0" w:color="auto"/>
                <w:lang w:eastAsia="en-GB"/>
              </w:rPr>
              <w:t>5  lungo</w:t>
            </w:r>
            <w:proofErr w:type="gramEnd"/>
            <w:r w:rsidRPr="00922A9B">
              <w:rPr>
                <w:rFonts w:eastAsia="Times New Roman" w:cs="Times New Roman"/>
                <w:color w:val="auto"/>
                <w:sz w:val="16"/>
                <w:szCs w:val="16"/>
                <w:bdr w:val="none" w:sz="0" w:space="0" w:color="auto"/>
                <w:lang w:eastAsia="en-GB"/>
              </w:rPr>
              <w:t xml:space="preserve"> il Corridoio Baltico-Adriatico</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69E8834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tcPr>
          <w:p w14:paraId="1800387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1.359</w:t>
            </w:r>
          </w:p>
        </w:tc>
        <w:tc>
          <w:tcPr>
            <w:tcW w:w="420" w:type="pct"/>
            <w:gridSpan w:val="2"/>
            <w:tcBorders>
              <w:top w:val="nil"/>
              <w:left w:val="nil"/>
              <w:bottom w:val="single" w:sz="4" w:space="0" w:color="auto"/>
              <w:right w:val="single" w:sz="4" w:space="0" w:color="auto"/>
            </w:tcBorders>
            <w:shd w:val="clear" w:color="auto" w:fill="auto"/>
            <w:noWrap/>
            <w:vAlign w:val="center"/>
          </w:tcPr>
          <w:p w14:paraId="5B84187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680</w:t>
            </w:r>
          </w:p>
        </w:tc>
        <w:tc>
          <w:tcPr>
            <w:tcW w:w="452" w:type="pct"/>
            <w:gridSpan w:val="3"/>
            <w:tcBorders>
              <w:top w:val="nil"/>
              <w:left w:val="nil"/>
              <w:bottom w:val="single" w:sz="4" w:space="0" w:color="auto"/>
              <w:right w:val="single" w:sz="4" w:space="0" w:color="auto"/>
            </w:tcBorders>
            <w:shd w:val="clear" w:color="auto" w:fill="auto"/>
            <w:noWrap/>
            <w:vAlign w:val="center"/>
          </w:tcPr>
          <w:p w14:paraId="75AC174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2.910 </w:t>
            </w:r>
          </w:p>
        </w:tc>
        <w:tc>
          <w:tcPr>
            <w:tcW w:w="456" w:type="pct"/>
            <w:gridSpan w:val="5"/>
            <w:tcBorders>
              <w:top w:val="nil"/>
              <w:left w:val="nil"/>
              <w:bottom w:val="single" w:sz="4" w:space="0" w:color="auto"/>
              <w:right w:val="single" w:sz="4" w:space="0" w:color="auto"/>
            </w:tcBorders>
            <w:shd w:val="clear" w:color="auto" w:fill="auto"/>
            <w:noWrap/>
            <w:vAlign w:val="center"/>
          </w:tcPr>
          <w:p w14:paraId="6606BF0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73CA1">
              <w:rPr>
                <w:rFonts w:eastAsia="Times New Roman" w:cs="Times New Roman"/>
                <w:color w:val="auto"/>
                <w:sz w:val="16"/>
                <w:szCs w:val="16"/>
                <w:bdr w:val="none" w:sz="0" w:space="0" w:color="auto"/>
                <w:lang w:val="en-GB" w:eastAsia="en-GB"/>
              </w:rPr>
              <w:t xml:space="preserve"> 1.455 </w:t>
            </w:r>
          </w:p>
        </w:tc>
        <w:tc>
          <w:tcPr>
            <w:tcW w:w="451" w:type="pct"/>
            <w:gridSpan w:val="3"/>
            <w:tcBorders>
              <w:top w:val="nil"/>
              <w:left w:val="nil"/>
              <w:bottom w:val="single" w:sz="4" w:space="0" w:color="auto"/>
              <w:right w:val="single" w:sz="4" w:space="0" w:color="auto"/>
            </w:tcBorders>
            <w:shd w:val="clear" w:color="auto" w:fill="auto"/>
            <w:noWrap/>
            <w:vAlign w:val="center"/>
          </w:tcPr>
          <w:p w14:paraId="2BDBA2F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324</w:t>
            </w:r>
          </w:p>
        </w:tc>
        <w:tc>
          <w:tcPr>
            <w:tcW w:w="298" w:type="pct"/>
            <w:gridSpan w:val="4"/>
            <w:tcBorders>
              <w:top w:val="nil"/>
              <w:left w:val="nil"/>
              <w:bottom w:val="single" w:sz="4" w:space="0" w:color="auto"/>
              <w:right w:val="single" w:sz="4" w:space="0" w:color="auto"/>
            </w:tcBorders>
            <w:shd w:val="clear" w:color="auto" w:fill="auto"/>
            <w:noWrap/>
            <w:vAlign w:val="center"/>
          </w:tcPr>
          <w:p w14:paraId="2408EB9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tabs>
                <w:tab w:val="left" w:pos="633"/>
              </w:tabs>
              <w:ind w:right="-90"/>
              <w:jc w:val="center"/>
              <w:rPr>
                <w:rFonts w:eastAsia="Times New Roman" w:cs="Times New Roman"/>
                <w:color w:val="auto"/>
                <w:sz w:val="16"/>
                <w:szCs w:val="16"/>
                <w:bdr w:val="none" w:sz="0" w:space="0" w:color="auto"/>
                <w:lang w:val="en-GB" w:eastAsia="en-GB"/>
              </w:rPr>
            </w:pPr>
            <w:r>
              <w:rPr>
                <w:sz w:val="16"/>
                <w:szCs w:val="16"/>
              </w:rPr>
              <w:t>47,6</w:t>
            </w:r>
          </w:p>
        </w:tc>
        <w:tc>
          <w:tcPr>
            <w:tcW w:w="464" w:type="pct"/>
            <w:gridSpan w:val="6"/>
            <w:tcBorders>
              <w:top w:val="nil"/>
              <w:left w:val="nil"/>
              <w:bottom w:val="single" w:sz="4" w:space="0" w:color="auto"/>
              <w:right w:val="single" w:sz="4" w:space="0" w:color="auto"/>
            </w:tcBorders>
            <w:shd w:val="clear" w:color="auto" w:fill="auto"/>
            <w:vAlign w:val="center"/>
          </w:tcPr>
          <w:p w14:paraId="05433A0E"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437</w:t>
            </w:r>
          </w:p>
        </w:tc>
        <w:tc>
          <w:tcPr>
            <w:tcW w:w="407" w:type="pct"/>
            <w:gridSpan w:val="2"/>
            <w:tcBorders>
              <w:top w:val="nil"/>
              <w:left w:val="nil"/>
              <w:bottom w:val="single" w:sz="4" w:space="0" w:color="auto"/>
              <w:right w:val="single" w:sz="4" w:space="0" w:color="auto"/>
            </w:tcBorders>
            <w:shd w:val="clear" w:color="auto" w:fill="auto"/>
            <w:vAlign w:val="center"/>
          </w:tcPr>
          <w:p w14:paraId="7F16ED0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656</w:t>
            </w:r>
          </w:p>
        </w:tc>
        <w:tc>
          <w:tcPr>
            <w:tcW w:w="199" w:type="pct"/>
            <w:gridSpan w:val="2"/>
            <w:tcBorders>
              <w:top w:val="nil"/>
              <w:left w:val="nil"/>
              <w:bottom w:val="single" w:sz="4" w:space="0" w:color="auto"/>
            </w:tcBorders>
            <w:shd w:val="clear" w:color="auto" w:fill="auto"/>
            <w:vAlign w:val="center"/>
          </w:tcPr>
          <w:p w14:paraId="2D8FD307"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77</w:t>
            </w:r>
          </w:p>
        </w:tc>
      </w:tr>
      <w:tr w:rsidR="00B326C9" w:rsidRPr="00922A9B" w14:paraId="2B41ED72"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hideMark/>
          </w:tcPr>
          <w:p w14:paraId="5CBB6B6A"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8</w:t>
            </w:r>
          </w:p>
        </w:tc>
        <w:tc>
          <w:tcPr>
            <w:tcW w:w="362" w:type="pct"/>
            <w:tcBorders>
              <w:top w:val="nil"/>
              <w:left w:val="nil"/>
              <w:bottom w:val="single" w:sz="4" w:space="0" w:color="auto"/>
              <w:right w:val="single" w:sz="4" w:space="0" w:color="auto"/>
            </w:tcBorders>
            <w:shd w:val="clear" w:color="auto" w:fill="auto"/>
            <w:vAlign w:val="center"/>
            <w:hideMark/>
          </w:tcPr>
          <w:p w14:paraId="1D14BA5F"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2014-EU-TM-0401</w:t>
            </w:r>
          </w:p>
          <w:p w14:paraId="3F3E8CED"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-M</w:t>
            </w:r>
          </w:p>
        </w:tc>
        <w:tc>
          <w:tcPr>
            <w:tcW w:w="548" w:type="pct"/>
            <w:gridSpan w:val="2"/>
            <w:tcBorders>
              <w:top w:val="nil"/>
              <w:left w:val="nil"/>
              <w:bottom w:val="single" w:sz="4" w:space="0" w:color="auto"/>
              <w:right w:val="single" w:sz="4" w:space="0" w:color="auto"/>
            </w:tcBorders>
            <w:shd w:val="clear" w:color="auto" w:fill="auto"/>
            <w:vAlign w:val="center"/>
            <w:hideMark/>
          </w:tcPr>
          <w:p w14:paraId="5DB145B3"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0C5475">
              <w:rPr>
                <w:rFonts w:eastAsia="Times New Roman" w:cs="Times New Roman"/>
                <w:color w:val="auto"/>
                <w:sz w:val="16"/>
                <w:szCs w:val="16"/>
                <w:bdr w:val="none" w:sz="0" w:space="0" w:color="auto"/>
                <w:lang w:eastAsia="en-GB"/>
              </w:rPr>
              <w:t xml:space="preserve">Nuova linea ferroviaria Torino-Lione - collegamento </w:t>
            </w:r>
            <w:proofErr w:type="spellStart"/>
            <w:r w:rsidRPr="000C5475">
              <w:rPr>
                <w:rFonts w:eastAsia="Times New Roman" w:cs="Times New Roman"/>
                <w:color w:val="auto"/>
                <w:sz w:val="16"/>
                <w:szCs w:val="16"/>
                <w:bdr w:val="none" w:sz="0" w:space="0" w:color="auto"/>
                <w:lang w:eastAsia="en-GB"/>
              </w:rPr>
              <w:t>transfrontalie</w:t>
            </w:r>
            <w:proofErr w:type="spellEnd"/>
            <w:r w:rsidRPr="000C5475">
              <w:rPr>
                <w:rFonts w:eastAsia="Times New Roman" w:cs="Times New Roman"/>
                <w:color w:val="auto"/>
                <w:sz w:val="16"/>
                <w:szCs w:val="16"/>
                <w:bdr w:val="none" w:sz="0" w:space="0" w:color="auto"/>
                <w:lang w:eastAsia="en-GB"/>
              </w:rPr>
              <w:t>-ro - Tunnel di base del Moncenisio</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74CBC98D"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31/12/22</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49002B25"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1.062.601</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26840D46"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449.335</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32FE004F"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 xml:space="preserve">1.915.055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555EB449"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 xml:space="preserve">813.782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2D372957"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C5475">
              <w:rPr>
                <w:rFonts w:eastAsia="Times New Roman" w:cs="Times New Roman"/>
                <w:color w:val="auto"/>
                <w:sz w:val="16"/>
                <w:szCs w:val="16"/>
                <w:bdr w:val="none" w:sz="0" w:space="0" w:color="auto"/>
                <w:lang w:val="en-GB" w:eastAsia="en-GB"/>
              </w:rPr>
              <w:t>105.955</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3839B9C2"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90"/>
              <w:jc w:val="center"/>
              <w:rPr>
                <w:rFonts w:eastAsia="Times New Roman" w:cs="Times New Roman"/>
                <w:color w:val="auto"/>
                <w:sz w:val="16"/>
                <w:szCs w:val="16"/>
                <w:bdr w:val="none" w:sz="0" w:space="0" w:color="auto"/>
                <w:lang w:val="en-GB" w:eastAsia="en-GB"/>
              </w:rPr>
            </w:pPr>
            <w:r w:rsidRPr="000C5475">
              <w:rPr>
                <w:sz w:val="16"/>
                <w:szCs w:val="16"/>
              </w:rPr>
              <w:t xml:space="preserve"> 23,6</w:t>
            </w:r>
          </w:p>
        </w:tc>
        <w:tc>
          <w:tcPr>
            <w:tcW w:w="464" w:type="pct"/>
            <w:gridSpan w:val="6"/>
            <w:tcBorders>
              <w:top w:val="nil"/>
              <w:left w:val="nil"/>
              <w:bottom w:val="single" w:sz="4" w:space="0" w:color="auto"/>
              <w:right w:val="single" w:sz="4" w:space="0" w:color="auto"/>
            </w:tcBorders>
            <w:shd w:val="clear" w:color="auto" w:fill="auto"/>
            <w:vAlign w:val="center"/>
            <w:hideMark/>
          </w:tcPr>
          <w:p w14:paraId="19982870" w14:textId="77777777" w:rsidR="00B326C9" w:rsidRPr="000C5475"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0C5475">
              <w:rPr>
                <w:rFonts w:eastAsia="Times New Roman" w:cs="Times New Roman"/>
                <w:color w:val="auto"/>
                <w:sz w:val="16"/>
                <w:szCs w:val="16"/>
                <w:bdr w:val="none" w:sz="0" w:space="0" w:color="auto"/>
                <w:lang w:eastAsia="en-GB"/>
              </w:rPr>
              <w:t xml:space="preserve"> -1.926   </w:t>
            </w:r>
          </w:p>
        </w:tc>
        <w:tc>
          <w:tcPr>
            <w:tcW w:w="407" w:type="pct"/>
            <w:gridSpan w:val="2"/>
            <w:tcBorders>
              <w:top w:val="nil"/>
              <w:left w:val="nil"/>
              <w:bottom w:val="single" w:sz="4" w:space="0" w:color="auto"/>
              <w:right w:val="single" w:sz="4" w:space="0" w:color="auto"/>
            </w:tcBorders>
            <w:shd w:val="clear" w:color="auto" w:fill="auto"/>
            <w:vAlign w:val="center"/>
            <w:hideMark/>
          </w:tcPr>
          <w:p w14:paraId="7D5405CF" w14:textId="77777777" w:rsidR="00B326C9" w:rsidRPr="000C547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0C5475">
              <w:rPr>
                <w:rFonts w:eastAsia="Times New Roman" w:cs="Times New Roman"/>
                <w:color w:val="auto"/>
                <w:sz w:val="16"/>
                <w:szCs w:val="16"/>
                <w:bdr w:val="none" w:sz="0" w:space="0" w:color="auto"/>
                <w:lang w:eastAsia="en-GB"/>
              </w:rPr>
              <w:t>297.931</w:t>
            </w:r>
          </w:p>
        </w:tc>
        <w:tc>
          <w:tcPr>
            <w:tcW w:w="199" w:type="pct"/>
            <w:gridSpan w:val="2"/>
            <w:tcBorders>
              <w:top w:val="nil"/>
              <w:left w:val="nil"/>
              <w:bottom w:val="single" w:sz="4" w:space="0" w:color="auto"/>
            </w:tcBorders>
            <w:shd w:val="clear" w:color="auto" w:fill="auto"/>
            <w:vAlign w:val="center"/>
          </w:tcPr>
          <w:p w14:paraId="1B6FCE16" w14:textId="77777777" w:rsidR="00B326C9" w:rsidRPr="000C5475"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eastAsia="en-GB"/>
              </w:rPr>
            </w:pPr>
            <w:r w:rsidRPr="000C5475">
              <w:rPr>
                <w:rFonts w:eastAsia="Times New Roman" w:cs="Times New Roman"/>
                <w:color w:val="auto"/>
                <w:sz w:val="16"/>
                <w:szCs w:val="16"/>
                <w:bdr w:val="none" w:sz="0" w:space="0" w:color="auto"/>
                <w:lang w:eastAsia="en-GB"/>
              </w:rPr>
              <w:t>4</w:t>
            </w:r>
            <w:r w:rsidR="00E03ADD">
              <w:rPr>
                <w:rFonts w:eastAsia="Times New Roman" w:cs="Times New Roman"/>
                <w:color w:val="auto"/>
                <w:sz w:val="16"/>
                <w:szCs w:val="16"/>
                <w:bdr w:val="none" w:sz="0" w:space="0" w:color="auto"/>
                <w:lang w:eastAsia="en-GB"/>
              </w:rPr>
              <w:t>6</w:t>
            </w:r>
          </w:p>
        </w:tc>
      </w:tr>
      <w:tr w:rsidR="00B326C9" w:rsidRPr="00922A9B" w14:paraId="4B8E5E61" w14:textId="77777777" w:rsidTr="00C56F61">
        <w:trPr>
          <w:trHeight w:val="428"/>
        </w:trPr>
        <w:tc>
          <w:tcPr>
            <w:tcW w:w="230" w:type="pct"/>
            <w:tcBorders>
              <w:top w:val="nil"/>
              <w:left w:val="nil"/>
              <w:bottom w:val="single" w:sz="4" w:space="0" w:color="auto"/>
              <w:right w:val="single" w:sz="4" w:space="0" w:color="auto"/>
            </w:tcBorders>
            <w:shd w:val="clear" w:color="auto" w:fill="auto"/>
            <w:noWrap/>
            <w:vAlign w:val="center"/>
            <w:hideMark/>
          </w:tcPr>
          <w:p w14:paraId="1B3F04E2"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9</w:t>
            </w:r>
          </w:p>
        </w:tc>
        <w:tc>
          <w:tcPr>
            <w:tcW w:w="362" w:type="pct"/>
            <w:tcBorders>
              <w:top w:val="nil"/>
              <w:left w:val="nil"/>
              <w:bottom w:val="single" w:sz="4" w:space="0" w:color="auto"/>
              <w:right w:val="single" w:sz="4" w:space="0" w:color="auto"/>
            </w:tcBorders>
            <w:shd w:val="clear" w:color="auto" w:fill="auto"/>
            <w:vAlign w:val="center"/>
            <w:hideMark/>
          </w:tcPr>
          <w:p w14:paraId="5BAB1D1A"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2014-IT-TM-0058</w:t>
            </w:r>
            <w:r w:rsidR="00B65419">
              <w:rPr>
                <w:rFonts w:eastAsia="Times New Roman" w:cs="Times New Roman"/>
                <w:color w:val="auto"/>
                <w:sz w:val="16"/>
                <w:szCs w:val="16"/>
                <w:bdr w:val="none" w:sz="0" w:space="0" w:color="auto"/>
                <w:lang w:eastAsia="en-GB"/>
              </w:rPr>
              <w:t xml:space="preserve">   </w:t>
            </w:r>
            <w:r w:rsidRPr="002E17CB">
              <w:rPr>
                <w:rFonts w:eastAsia="Times New Roman" w:cs="Times New Roman"/>
                <w:color w:val="auto"/>
                <w:sz w:val="16"/>
                <w:szCs w:val="16"/>
                <w:bdr w:val="none" w:sz="0" w:space="0" w:color="auto"/>
                <w:lang w:eastAsia="en-GB"/>
              </w:rPr>
              <w:t>-W</w:t>
            </w:r>
          </w:p>
        </w:tc>
        <w:tc>
          <w:tcPr>
            <w:tcW w:w="548" w:type="pct"/>
            <w:gridSpan w:val="2"/>
            <w:tcBorders>
              <w:top w:val="nil"/>
              <w:left w:val="nil"/>
              <w:bottom w:val="single" w:sz="4" w:space="0" w:color="auto"/>
              <w:right w:val="single" w:sz="4" w:space="0" w:color="auto"/>
            </w:tcBorders>
            <w:shd w:val="clear" w:color="auto" w:fill="auto"/>
            <w:vAlign w:val="center"/>
            <w:hideMark/>
          </w:tcPr>
          <w:p w14:paraId="4E8867D4"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ERTMS </w:t>
            </w:r>
            <w:r w:rsidR="00D477D8">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 xml:space="preserve"> </w:t>
            </w:r>
            <w:r w:rsidR="00D477D8">
              <w:rPr>
                <w:rFonts w:eastAsia="Times New Roman" w:cs="Times New Roman"/>
                <w:color w:val="auto"/>
                <w:sz w:val="16"/>
                <w:szCs w:val="16"/>
                <w:bdr w:val="none" w:sz="0" w:space="0" w:color="auto"/>
                <w:lang w:eastAsia="en-GB"/>
              </w:rPr>
              <w:t>Implementa-zio</w:t>
            </w:r>
            <w:r w:rsidRPr="00922A9B">
              <w:rPr>
                <w:rFonts w:eastAsia="Times New Roman" w:cs="Times New Roman"/>
                <w:color w:val="auto"/>
                <w:sz w:val="16"/>
                <w:szCs w:val="16"/>
                <w:bdr w:val="none" w:sz="0" w:space="0" w:color="auto"/>
                <w:lang w:eastAsia="en-GB"/>
              </w:rPr>
              <w:t>ne del sistema ERTMS su se</w:t>
            </w:r>
            <w:r>
              <w:rPr>
                <w:rFonts w:eastAsia="Times New Roman" w:cs="Times New Roman"/>
                <w:color w:val="auto"/>
                <w:sz w:val="16"/>
                <w:szCs w:val="16"/>
                <w:bdr w:val="none" w:sz="0" w:space="0" w:color="auto"/>
                <w:lang w:eastAsia="en-GB"/>
              </w:rPr>
              <w:t>zioni IT del CNC</w:t>
            </w:r>
            <w:r w:rsidRPr="00922A9B">
              <w:rPr>
                <w:rFonts w:eastAsia="Times New Roman" w:cs="Times New Roman"/>
                <w:color w:val="auto"/>
                <w:sz w:val="16"/>
                <w:szCs w:val="16"/>
                <w:bdr w:val="none" w:sz="0" w:space="0" w:color="auto"/>
                <w:lang w:eastAsia="en-GB"/>
              </w:rPr>
              <w:t xml:space="preserve"> Reno – Alpi</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620413B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5176572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sidRPr="002E17CB">
              <w:rPr>
                <w:rFonts w:eastAsia="Times New Roman" w:cs="Times New Roman"/>
                <w:color w:val="auto"/>
                <w:sz w:val="16"/>
                <w:szCs w:val="16"/>
                <w:bdr w:val="none" w:sz="0" w:space="0" w:color="auto"/>
                <w:lang w:eastAsia="en-GB"/>
              </w:rPr>
              <w:t>27.</w:t>
            </w:r>
            <w:r w:rsidRPr="00922A9B">
              <w:rPr>
                <w:rFonts w:eastAsia="Times New Roman" w:cs="Times New Roman"/>
                <w:color w:val="auto"/>
                <w:sz w:val="16"/>
                <w:szCs w:val="16"/>
                <w:bdr w:val="none" w:sz="0" w:space="0" w:color="auto"/>
                <w:lang w:val="en-GB" w:eastAsia="en-GB"/>
              </w:rPr>
              <w:t xml:space="preserve">382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43FA926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13.691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7ECEDFA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27.382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6166843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13.691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34EA687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7.167</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1FB6E2E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90"/>
              <w:jc w:val="center"/>
              <w:rPr>
                <w:rFonts w:eastAsia="Times New Roman" w:cs="Times New Roman"/>
                <w:color w:val="auto"/>
                <w:sz w:val="16"/>
                <w:szCs w:val="16"/>
                <w:bdr w:val="none" w:sz="0" w:space="0" w:color="auto"/>
                <w:lang w:val="en-GB" w:eastAsia="en-GB"/>
              </w:rPr>
            </w:pPr>
            <w:r>
              <w:rPr>
                <w:sz w:val="16"/>
                <w:szCs w:val="16"/>
              </w:rPr>
              <w:t>52,3</w:t>
            </w:r>
          </w:p>
        </w:tc>
        <w:tc>
          <w:tcPr>
            <w:tcW w:w="464" w:type="pct"/>
            <w:gridSpan w:val="6"/>
            <w:tcBorders>
              <w:top w:val="nil"/>
              <w:left w:val="nil"/>
              <w:bottom w:val="single" w:sz="4" w:space="0" w:color="auto"/>
              <w:right w:val="single" w:sz="4" w:space="0" w:color="auto"/>
            </w:tcBorders>
            <w:shd w:val="clear" w:color="auto" w:fill="auto"/>
            <w:vAlign w:val="center"/>
            <w:hideMark/>
          </w:tcPr>
          <w:p w14:paraId="462B251C"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 xml:space="preserve">-   </w:t>
            </w:r>
          </w:p>
        </w:tc>
        <w:tc>
          <w:tcPr>
            <w:tcW w:w="407" w:type="pct"/>
            <w:gridSpan w:val="2"/>
            <w:tcBorders>
              <w:top w:val="nil"/>
              <w:left w:val="nil"/>
              <w:bottom w:val="single" w:sz="4" w:space="0" w:color="auto"/>
              <w:right w:val="single" w:sz="4" w:space="0" w:color="auto"/>
            </w:tcBorders>
            <w:shd w:val="clear" w:color="auto" w:fill="auto"/>
            <w:vAlign w:val="center"/>
            <w:hideMark/>
          </w:tcPr>
          <w:p w14:paraId="003B8CA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17.522</w:t>
            </w:r>
          </w:p>
        </w:tc>
        <w:tc>
          <w:tcPr>
            <w:tcW w:w="199" w:type="pct"/>
            <w:gridSpan w:val="2"/>
            <w:tcBorders>
              <w:top w:val="nil"/>
              <w:left w:val="nil"/>
              <w:bottom w:val="single" w:sz="4" w:space="0" w:color="auto"/>
            </w:tcBorders>
            <w:shd w:val="clear" w:color="auto" w:fill="auto"/>
            <w:vAlign w:val="center"/>
            <w:hideMark/>
          </w:tcPr>
          <w:p w14:paraId="079072BD"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53</w:t>
            </w:r>
          </w:p>
        </w:tc>
      </w:tr>
      <w:tr w:rsidR="00B326C9" w:rsidRPr="00922A9B" w14:paraId="52B55E68" w14:textId="77777777" w:rsidTr="00C56F61">
        <w:trPr>
          <w:trHeight w:val="12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2FC78D6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lastRenderedPageBreak/>
              <w:t>10</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1588F26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FE0BA0">
              <w:rPr>
                <w:rFonts w:eastAsia="Times New Roman" w:cs="Times New Roman"/>
                <w:color w:val="auto"/>
                <w:sz w:val="16"/>
                <w:szCs w:val="16"/>
                <w:bdr w:val="none" w:sz="0" w:space="0" w:color="auto"/>
                <w:lang w:val="en-GB" w:eastAsia="en-GB"/>
              </w:rPr>
              <w:t>2014-IT-TM-0089</w:t>
            </w:r>
          </w:p>
          <w:p w14:paraId="41C90E0C" w14:textId="77777777" w:rsidR="00B326C9" w:rsidRPr="00FE0BA0"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FE0BA0">
              <w:rPr>
                <w:rFonts w:eastAsia="Times New Roman" w:cs="Times New Roman"/>
                <w:color w:val="auto"/>
                <w:sz w:val="16"/>
                <w:szCs w:val="16"/>
                <w:bdr w:val="none" w:sz="0" w:space="0" w:color="auto"/>
                <w:lang w:val="en-GB" w:eastAsia="en-GB"/>
              </w:rPr>
              <w:t>-S</w:t>
            </w:r>
            <w:r w:rsidRPr="00041D47">
              <w:rPr>
                <w:rFonts w:eastAsia="Times New Roman" w:cs="Times New Roman"/>
                <w:color w:val="auto"/>
                <w:sz w:val="16"/>
                <w:szCs w:val="16"/>
                <w:bdr w:val="none" w:sz="0" w:space="0" w:color="auto"/>
                <w:vertAlign w:val="superscript"/>
                <w:lang w:val="en-GB" w:eastAsia="en-GB"/>
              </w:rPr>
              <w:t>13</w:t>
            </w:r>
          </w:p>
        </w:tc>
        <w:tc>
          <w:tcPr>
            <w:tcW w:w="548" w:type="pct"/>
            <w:gridSpan w:val="2"/>
            <w:tcBorders>
              <w:top w:val="single" w:sz="4" w:space="0" w:color="auto"/>
              <w:left w:val="nil"/>
              <w:bottom w:val="single" w:sz="4" w:space="0" w:color="auto"/>
              <w:right w:val="single" w:sz="4" w:space="0" w:color="auto"/>
            </w:tcBorders>
            <w:shd w:val="clear" w:color="auto" w:fill="auto"/>
            <w:vAlign w:val="center"/>
            <w:hideMark/>
          </w:tcPr>
          <w:p w14:paraId="592CC304"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proofErr w:type="spellStart"/>
            <w:r w:rsidRPr="00FE0BA0">
              <w:rPr>
                <w:rFonts w:eastAsia="Times New Roman" w:cs="Times New Roman"/>
                <w:color w:val="auto"/>
                <w:sz w:val="16"/>
                <w:szCs w:val="16"/>
                <w:bdr w:val="none" w:sz="0" w:space="0" w:color="auto"/>
                <w:lang w:eastAsia="en-GB"/>
              </w:rPr>
              <w:t>Aggiorname</w:t>
            </w:r>
            <w:r w:rsidR="00D477D8">
              <w:rPr>
                <w:rFonts w:eastAsia="Times New Roman" w:cs="Times New Roman"/>
                <w:color w:val="auto"/>
                <w:sz w:val="16"/>
                <w:szCs w:val="16"/>
                <w:bdr w:val="none" w:sz="0" w:space="0" w:color="auto"/>
                <w:lang w:eastAsia="en-GB"/>
              </w:rPr>
              <w:t>n</w:t>
            </w:r>
            <w:proofErr w:type="spellEnd"/>
            <w:r>
              <w:rPr>
                <w:rFonts w:eastAsia="Times New Roman" w:cs="Times New Roman"/>
                <w:color w:val="auto"/>
                <w:sz w:val="16"/>
                <w:szCs w:val="16"/>
                <w:bdr w:val="none" w:sz="0" w:space="0" w:color="auto"/>
                <w:lang w:eastAsia="en-GB"/>
              </w:rPr>
              <w:t>-</w:t>
            </w:r>
            <w:r w:rsidRPr="00FE0BA0">
              <w:rPr>
                <w:rFonts w:eastAsia="Times New Roman" w:cs="Times New Roman"/>
                <w:color w:val="auto"/>
                <w:sz w:val="16"/>
                <w:szCs w:val="16"/>
                <w:bdr w:val="none" w:sz="0" w:space="0" w:color="auto"/>
                <w:lang w:eastAsia="en-GB"/>
              </w:rPr>
              <w:t>to e rafforza</w:t>
            </w:r>
            <w:r>
              <w:rPr>
                <w:rFonts w:eastAsia="Times New Roman" w:cs="Times New Roman"/>
                <w:color w:val="auto"/>
                <w:sz w:val="16"/>
                <w:szCs w:val="16"/>
                <w:bdr w:val="none" w:sz="0" w:space="0" w:color="auto"/>
                <w:lang w:eastAsia="en-GB"/>
              </w:rPr>
              <w:t>-</w:t>
            </w:r>
            <w:r w:rsidRPr="00FE0BA0">
              <w:rPr>
                <w:rFonts w:eastAsia="Times New Roman" w:cs="Times New Roman"/>
                <w:color w:val="auto"/>
                <w:sz w:val="16"/>
                <w:szCs w:val="16"/>
                <w:bdr w:val="none" w:sz="0" w:space="0" w:color="auto"/>
                <w:lang w:eastAsia="en-GB"/>
              </w:rPr>
              <w:t>mento del Corridoio ferroviario merci RFC6 lungo il Corridoio M</w:t>
            </w:r>
            <w:r>
              <w:rPr>
                <w:rFonts w:eastAsia="Times New Roman" w:cs="Times New Roman"/>
                <w:color w:val="auto"/>
                <w:sz w:val="16"/>
                <w:szCs w:val="16"/>
                <w:bdr w:val="none" w:sz="0" w:space="0" w:color="auto"/>
                <w:lang w:eastAsia="en-GB"/>
              </w:rPr>
              <w:t>ED</w:t>
            </w:r>
            <w:r w:rsidRPr="00FE0BA0">
              <w:rPr>
                <w:rFonts w:eastAsia="Times New Roman" w:cs="Times New Roman"/>
                <w:color w:val="auto"/>
                <w:sz w:val="16"/>
                <w:szCs w:val="16"/>
                <w:bdr w:val="none" w:sz="0" w:space="0" w:color="auto"/>
                <w:lang w:eastAsia="en-GB"/>
              </w:rPr>
              <w:t xml:space="preserve"> ed estensione alla Croazia</w:t>
            </w:r>
          </w:p>
        </w:tc>
        <w:tc>
          <w:tcPr>
            <w:tcW w:w="268" w:type="pct"/>
            <w:gridSpan w:val="3"/>
            <w:tcBorders>
              <w:top w:val="single" w:sz="4" w:space="0" w:color="auto"/>
              <w:left w:val="nil"/>
              <w:bottom w:val="single" w:sz="4" w:space="0" w:color="auto"/>
              <w:right w:val="single" w:sz="4" w:space="0" w:color="auto"/>
            </w:tcBorders>
            <w:shd w:val="clear" w:color="auto" w:fill="auto"/>
            <w:noWrap/>
            <w:textDirection w:val="btLr"/>
            <w:vAlign w:val="center"/>
            <w:hideMark/>
          </w:tcPr>
          <w:p w14:paraId="2542566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31/12/18</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7CFA9BF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2.460</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353E430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1.230</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309F07F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4.138</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60024C9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2.069</w:t>
            </w:r>
          </w:p>
        </w:tc>
        <w:tc>
          <w:tcPr>
            <w:tcW w:w="451" w:type="pct"/>
            <w:gridSpan w:val="3"/>
            <w:tcBorders>
              <w:top w:val="single" w:sz="4" w:space="0" w:color="auto"/>
              <w:left w:val="nil"/>
              <w:bottom w:val="single" w:sz="4" w:space="0" w:color="auto"/>
              <w:right w:val="single" w:sz="4" w:space="0" w:color="auto"/>
            </w:tcBorders>
            <w:shd w:val="clear" w:color="auto" w:fill="auto"/>
            <w:noWrap/>
            <w:vAlign w:val="center"/>
            <w:hideMark/>
          </w:tcPr>
          <w:p w14:paraId="5340912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1.230</w:t>
            </w:r>
          </w:p>
        </w:tc>
        <w:tc>
          <w:tcPr>
            <w:tcW w:w="298" w:type="pct"/>
            <w:gridSpan w:val="4"/>
            <w:tcBorders>
              <w:top w:val="single" w:sz="4" w:space="0" w:color="auto"/>
              <w:left w:val="nil"/>
              <w:bottom w:val="single" w:sz="4" w:space="0" w:color="auto"/>
              <w:right w:val="single" w:sz="4" w:space="0" w:color="auto"/>
            </w:tcBorders>
            <w:shd w:val="clear" w:color="auto" w:fill="auto"/>
            <w:noWrap/>
            <w:vAlign w:val="center"/>
            <w:hideMark/>
          </w:tcPr>
          <w:p w14:paraId="6F0E22C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90"/>
              <w:jc w:val="center"/>
              <w:rPr>
                <w:rFonts w:eastAsia="Times New Roman" w:cs="Times New Roman"/>
                <w:color w:val="auto"/>
                <w:sz w:val="16"/>
                <w:szCs w:val="16"/>
                <w:bdr w:val="none" w:sz="0" w:space="0" w:color="auto"/>
                <w:lang w:val="en-GB" w:eastAsia="en-GB"/>
              </w:rPr>
            </w:pPr>
            <w:r>
              <w:rPr>
                <w:sz w:val="16"/>
                <w:szCs w:val="16"/>
              </w:rPr>
              <w:t>100,0</w:t>
            </w:r>
          </w:p>
        </w:tc>
        <w:tc>
          <w:tcPr>
            <w:tcW w:w="464" w:type="pct"/>
            <w:gridSpan w:val="6"/>
            <w:tcBorders>
              <w:top w:val="single" w:sz="4" w:space="0" w:color="auto"/>
              <w:left w:val="nil"/>
              <w:bottom w:val="single" w:sz="4" w:space="0" w:color="auto"/>
              <w:right w:val="single" w:sz="4" w:space="0" w:color="auto"/>
            </w:tcBorders>
            <w:shd w:val="clear" w:color="auto" w:fill="auto"/>
            <w:vAlign w:val="center"/>
            <w:hideMark/>
          </w:tcPr>
          <w:p w14:paraId="0C59AF79" w14:textId="77777777" w:rsidR="00B326C9" w:rsidRPr="00E03ADD" w:rsidRDefault="00B326C9" w:rsidP="00E03AD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E03ADD">
              <w:rPr>
                <w:rFonts w:eastAsia="Times New Roman" w:cs="Times New Roman"/>
                <w:color w:val="auto"/>
                <w:sz w:val="16"/>
                <w:szCs w:val="16"/>
                <w:bdr w:val="none" w:sz="0" w:space="0" w:color="auto"/>
                <w:lang w:eastAsia="en-GB"/>
              </w:rPr>
              <w:t xml:space="preserve">10   </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67AD73D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2.466</w:t>
            </w:r>
          </w:p>
        </w:tc>
        <w:tc>
          <w:tcPr>
            <w:tcW w:w="199" w:type="pct"/>
            <w:gridSpan w:val="2"/>
            <w:tcBorders>
              <w:top w:val="single" w:sz="4" w:space="0" w:color="auto"/>
              <w:left w:val="nil"/>
              <w:bottom w:val="single" w:sz="4" w:space="0" w:color="auto"/>
            </w:tcBorders>
            <w:shd w:val="clear" w:color="auto" w:fill="auto"/>
            <w:vAlign w:val="center"/>
            <w:hideMark/>
          </w:tcPr>
          <w:p w14:paraId="04412858"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w:t>
            </w:r>
            <w:r w:rsidRPr="00FE0BA0">
              <w:rPr>
                <w:rFonts w:eastAsia="Times New Roman" w:cs="Times New Roman"/>
                <w:color w:val="auto"/>
                <w:sz w:val="16"/>
                <w:szCs w:val="16"/>
                <w:bdr w:val="none" w:sz="0" w:space="0" w:color="auto"/>
                <w:lang w:val="en-GB" w:eastAsia="en-GB"/>
              </w:rPr>
              <w:t>00</w:t>
            </w:r>
          </w:p>
        </w:tc>
      </w:tr>
      <w:tr w:rsidR="00B326C9" w:rsidRPr="00922A9B" w14:paraId="766316CD"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12F39C9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1</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CB1A68"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2014-IT-TM-0174</w:t>
            </w:r>
          </w:p>
          <w:p w14:paraId="58C0E18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041D47">
              <w:rPr>
                <w:rFonts w:eastAsia="Times New Roman" w:cs="Times New Roman"/>
                <w:color w:val="auto"/>
                <w:sz w:val="16"/>
                <w:szCs w:val="16"/>
                <w:bdr w:val="none" w:sz="0" w:space="0" w:color="auto"/>
                <w:vertAlign w:val="superscript"/>
                <w:lang w:val="en-GB" w:eastAsia="en-GB"/>
              </w:rPr>
              <w:t>13</w:t>
            </w:r>
          </w:p>
        </w:tc>
        <w:tc>
          <w:tcPr>
            <w:tcW w:w="54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99828F"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MXP -AT </w:t>
            </w:r>
            <w:proofErr w:type="spellStart"/>
            <w:r w:rsidRPr="00922A9B">
              <w:rPr>
                <w:rFonts w:eastAsia="Times New Roman" w:cs="Times New Roman"/>
                <w:color w:val="auto"/>
                <w:sz w:val="16"/>
                <w:szCs w:val="16"/>
                <w:bdr w:val="none" w:sz="0" w:space="0" w:color="auto"/>
                <w:lang w:eastAsia="en-GB"/>
              </w:rPr>
              <w:t>Railink</w:t>
            </w:r>
            <w:proofErr w:type="spellEnd"/>
            <w:r w:rsidRPr="00922A9B">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 xml:space="preserve">Progettazione preliminare ed esecutiva del </w:t>
            </w:r>
            <w:r w:rsidRPr="00302B19">
              <w:rPr>
                <w:rFonts w:eastAsia="Times New Roman" w:cs="Times New Roman"/>
                <w:color w:val="auto"/>
                <w:sz w:val="16"/>
                <w:szCs w:val="16"/>
                <w:bdr w:val="none" w:sz="0" w:space="0" w:color="auto"/>
                <w:lang w:eastAsia="en-GB"/>
              </w:rPr>
              <w:t>collegamento ferroviario dell’Aeroporto di Milano Malpensa T1-T</w:t>
            </w:r>
            <w:proofErr w:type="gramStart"/>
            <w:r w:rsidRPr="00302B19">
              <w:rPr>
                <w:rFonts w:eastAsia="Times New Roman" w:cs="Times New Roman"/>
                <w:color w:val="auto"/>
                <w:sz w:val="16"/>
                <w:szCs w:val="16"/>
                <w:bdr w:val="none" w:sz="0" w:space="0" w:color="auto"/>
                <w:lang w:eastAsia="en-GB"/>
              </w:rPr>
              <w:t>2  con</w:t>
            </w:r>
            <w:proofErr w:type="gramEnd"/>
            <w:r>
              <w:rPr>
                <w:rFonts w:eastAsia="Times New Roman" w:cs="Times New Roman"/>
                <w:color w:val="auto"/>
                <w:sz w:val="16"/>
                <w:szCs w:val="16"/>
                <w:bdr w:val="none" w:sz="0" w:space="0" w:color="auto"/>
                <w:lang w:eastAsia="en-GB"/>
              </w:rPr>
              <w:t xml:space="preserve"> la linea ferroviaria Sempione, </w:t>
            </w:r>
            <w:r w:rsidRPr="00302B19">
              <w:rPr>
                <w:rFonts w:eastAsia="Times New Roman" w:cs="Times New Roman"/>
                <w:color w:val="auto"/>
                <w:sz w:val="16"/>
                <w:szCs w:val="16"/>
                <w:bdr w:val="none" w:sz="0" w:space="0" w:color="auto"/>
                <w:lang w:eastAsia="en-GB"/>
              </w:rPr>
              <w:t xml:space="preserve">Milano </w:t>
            </w:r>
          </w:p>
        </w:tc>
        <w:tc>
          <w:tcPr>
            <w:tcW w:w="268" w:type="pct"/>
            <w:gridSpan w:val="3"/>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E32ABD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31/03/18</w:t>
            </w:r>
          </w:p>
        </w:tc>
        <w:tc>
          <w:tcPr>
            <w:tcW w:w="44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68B8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78"/>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3.200</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2A33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1.600</w:t>
            </w:r>
          </w:p>
        </w:tc>
        <w:tc>
          <w:tcPr>
            <w:tcW w:w="45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C362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3.200</w:t>
            </w:r>
          </w:p>
        </w:tc>
        <w:tc>
          <w:tcPr>
            <w:tcW w:w="4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EA8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1.600</w:t>
            </w:r>
          </w:p>
        </w:tc>
        <w:tc>
          <w:tcPr>
            <w:tcW w:w="45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F63B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1.600</w:t>
            </w:r>
          </w:p>
        </w:tc>
        <w:tc>
          <w:tcPr>
            <w:tcW w:w="298"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1C2FE" w14:textId="77777777" w:rsidR="00B326C9" w:rsidRPr="00AD39B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sz w:val="16"/>
                <w:szCs w:val="16"/>
                <w:bdr w:val="none" w:sz="0" w:space="0" w:color="auto"/>
                <w:lang w:val="en-GB" w:eastAsia="en-GB"/>
              </w:rPr>
            </w:pPr>
            <w:r>
              <w:rPr>
                <w:sz w:val="16"/>
                <w:szCs w:val="16"/>
              </w:rPr>
              <w:t>100,0</w:t>
            </w:r>
          </w:p>
        </w:tc>
        <w:tc>
          <w:tcPr>
            <w:tcW w:w="464"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EE25DB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- 466</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33293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3.206</w:t>
            </w:r>
            <w:r w:rsidRPr="00922A9B">
              <w:rPr>
                <w:rFonts w:eastAsia="Times New Roman" w:cs="Times New Roman"/>
                <w:color w:val="auto"/>
                <w:sz w:val="16"/>
                <w:szCs w:val="16"/>
                <w:bdr w:val="none" w:sz="0" w:space="0" w:color="auto"/>
                <w:lang w:val="en-GB" w:eastAsia="en-GB"/>
              </w:rPr>
              <w:t xml:space="preserve"> </w:t>
            </w:r>
          </w:p>
        </w:tc>
        <w:tc>
          <w:tcPr>
            <w:tcW w:w="199" w:type="pct"/>
            <w:gridSpan w:val="2"/>
            <w:tcBorders>
              <w:top w:val="single" w:sz="4" w:space="0" w:color="auto"/>
              <w:left w:val="single" w:sz="4" w:space="0" w:color="auto"/>
              <w:bottom w:val="single" w:sz="4" w:space="0" w:color="auto"/>
            </w:tcBorders>
            <w:shd w:val="clear" w:color="auto" w:fill="auto"/>
            <w:vAlign w:val="center"/>
            <w:hideMark/>
          </w:tcPr>
          <w:p w14:paraId="3EC06803"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98</w:t>
            </w:r>
          </w:p>
        </w:tc>
      </w:tr>
      <w:tr w:rsidR="00B326C9" w:rsidRPr="00922A9B" w14:paraId="55DAB38E" w14:textId="77777777" w:rsidTr="00C56F61">
        <w:trPr>
          <w:trHeight w:val="73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526E9CE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8860914"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2014-IT-TM-0176</w:t>
            </w:r>
          </w:p>
          <w:p w14:paraId="4917493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48" w:type="pct"/>
            <w:gridSpan w:val="2"/>
            <w:tcBorders>
              <w:top w:val="single" w:sz="4" w:space="0" w:color="auto"/>
              <w:left w:val="nil"/>
              <w:bottom w:val="single" w:sz="4" w:space="0" w:color="auto"/>
              <w:right w:val="single" w:sz="4" w:space="0" w:color="auto"/>
            </w:tcBorders>
            <w:shd w:val="clear" w:color="auto" w:fill="auto"/>
            <w:vAlign w:val="center"/>
            <w:hideMark/>
          </w:tcPr>
          <w:p w14:paraId="1D5F9945"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B70F83">
              <w:rPr>
                <w:rFonts w:eastAsia="Times New Roman" w:cs="Times New Roman"/>
                <w:color w:val="auto"/>
                <w:sz w:val="16"/>
                <w:szCs w:val="16"/>
                <w:bdr w:val="none" w:sz="0" w:space="0" w:color="auto"/>
                <w:lang w:eastAsia="en-GB"/>
              </w:rPr>
              <w:t xml:space="preserve">Adeguamento </w:t>
            </w:r>
            <w:proofErr w:type="gramStart"/>
            <w:r w:rsidRPr="00B70F83">
              <w:rPr>
                <w:rFonts w:eastAsia="Times New Roman" w:cs="Times New Roman"/>
                <w:color w:val="auto"/>
                <w:sz w:val="16"/>
                <w:szCs w:val="16"/>
                <w:bdr w:val="none" w:sz="0" w:space="0" w:color="auto"/>
                <w:lang w:eastAsia="en-GB"/>
              </w:rPr>
              <w:t>tecnologico  e</w:t>
            </w:r>
            <w:proofErr w:type="gramEnd"/>
            <w:r w:rsidRPr="00B70F83">
              <w:rPr>
                <w:rFonts w:eastAsia="Times New Roman" w:cs="Times New Roman"/>
                <w:color w:val="auto"/>
                <w:sz w:val="16"/>
                <w:szCs w:val="16"/>
                <w:bdr w:val="none" w:sz="0" w:space="0" w:color="auto"/>
                <w:lang w:eastAsia="en-GB"/>
              </w:rPr>
              <w:t xml:space="preserve"> sagoma della linea ferro</w:t>
            </w:r>
            <w:r>
              <w:rPr>
                <w:rFonts w:eastAsia="Times New Roman" w:cs="Times New Roman"/>
                <w:color w:val="auto"/>
                <w:sz w:val="16"/>
                <w:szCs w:val="16"/>
                <w:bdr w:val="none" w:sz="0" w:space="0" w:color="auto"/>
                <w:lang w:eastAsia="en-GB"/>
              </w:rPr>
              <w:t>-</w:t>
            </w:r>
            <w:r w:rsidRPr="00B70F83">
              <w:rPr>
                <w:rFonts w:eastAsia="Times New Roman" w:cs="Times New Roman"/>
                <w:color w:val="auto"/>
                <w:sz w:val="16"/>
                <w:szCs w:val="16"/>
                <w:bdr w:val="none" w:sz="0" w:space="0" w:color="auto"/>
                <w:lang w:eastAsia="en-GB"/>
              </w:rPr>
              <w:t>viaria Chiasso -  Milano</w:t>
            </w:r>
          </w:p>
        </w:tc>
        <w:tc>
          <w:tcPr>
            <w:tcW w:w="268" w:type="pct"/>
            <w:gridSpan w:val="3"/>
            <w:tcBorders>
              <w:top w:val="single" w:sz="4" w:space="0" w:color="auto"/>
              <w:left w:val="nil"/>
              <w:bottom w:val="single" w:sz="4" w:space="0" w:color="auto"/>
              <w:right w:val="single" w:sz="4" w:space="0" w:color="auto"/>
            </w:tcBorders>
            <w:shd w:val="clear" w:color="auto" w:fill="auto"/>
            <w:noWrap/>
            <w:textDirection w:val="btLr"/>
            <w:vAlign w:val="center"/>
            <w:hideMark/>
          </w:tcPr>
          <w:p w14:paraId="7787B5F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2C5BE28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135.786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5C0D1D6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40.904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7E2D7DC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135.786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3240716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40.904 </w:t>
            </w:r>
          </w:p>
        </w:tc>
        <w:tc>
          <w:tcPr>
            <w:tcW w:w="451" w:type="pct"/>
            <w:gridSpan w:val="3"/>
            <w:tcBorders>
              <w:top w:val="single" w:sz="4" w:space="0" w:color="auto"/>
              <w:left w:val="nil"/>
              <w:bottom w:val="single" w:sz="4" w:space="0" w:color="auto"/>
              <w:right w:val="single" w:sz="4" w:space="0" w:color="auto"/>
            </w:tcBorders>
            <w:shd w:val="clear" w:color="auto" w:fill="auto"/>
            <w:noWrap/>
            <w:vAlign w:val="center"/>
            <w:hideMark/>
          </w:tcPr>
          <w:p w14:paraId="6D4B31F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23.906</w:t>
            </w:r>
          </w:p>
        </w:tc>
        <w:tc>
          <w:tcPr>
            <w:tcW w:w="298" w:type="pct"/>
            <w:gridSpan w:val="4"/>
            <w:tcBorders>
              <w:top w:val="single" w:sz="4" w:space="0" w:color="auto"/>
              <w:left w:val="nil"/>
              <w:bottom w:val="single" w:sz="4" w:space="0" w:color="auto"/>
              <w:right w:val="single" w:sz="4" w:space="0" w:color="auto"/>
            </w:tcBorders>
            <w:shd w:val="clear" w:color="auto" w:fill="auto"/>
            <w:noWrap/>
            <w:vAlign w:val="center"/>
            <w:hideMark/>
          </w:tcPr>
          <w:p w14:paraId="78C9B23D" w14:textId="77777777" w:rsidR="00B326C9" w:rsidRPr="00AD39B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sz w:val="16"/>
                <w:szCs w:val="16"/>
                <w:bdr w:val="none" w:sz="0" w:space="0" w:color="auto"/>
                <w:lang w:val="en-GB" w:eastAsia="en-GB"/>
              </w:rPr>
            </w:pPr>
            <w:r>
              <w:rPr>
                <w:sz w:val="16"/>
                <w:szCs w:val="16"/>
              </w:rPr>
              <w:t>58,4</w:t>
            </w:r>
          </w:p>
        </w:tc>
        <w:tc>
          <w:tcPr>
            <w:tcW w:w="464" w:type="pct"/>
            <w:gridSpan w:val="6"/>
            <w:tcBorders>
              <w:top w:val="single" w:sz="4" w:space="0" w:color="auto"/>
              <w:left w:val="nil"/>
              <w:bottom w:val="single" w:sz="4" w:space="0" w:color="auto"/>
              <w:right w:val="single" w:sz="4" w:space="0" w:color="auto"/>
            </w:tcBorders>
            <w:shd w:val="clear" w:color="auto" w:fill="auto"/>
            <w:vAlign w:val="center"/>
            <w:hideMark/>
          </w:tcPr>
          <w:p w14:paraId="6CC7CDC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482D989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104.032</w:t>
            </w:r>
          </w:p>
        </w:tc>
        <w:tc>
          <w:tcPr>
            <w:tcW w:w="199" w:type="pct"/>
            <w:gridSpan w:val="2"/>
            <w:tcBorders>
              <w:top w:val="single" w:sz="4" w:space="0" w:color="auto"/>
              <w:left w:val="nil"/>
              <w:bottom w:val="single" w:sz="4" w:space="0" w:color="auto"/>
            </w:tcBorders>
            <w:shd w:val="clear" w:color="auto" w:fill="auto"/>
            <w:vAlign w:val="center"/>
            <w:hideMark/>
          </w:tcPr>
          <w:p w14:paraId="1842CDB7"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77</w:t>
            </w:r>
          </w:p>
        </w:tc>
      </w:tr>
      <w:tr w:rsidR="00B326C9" w:rsidRPr="00922A9B" w14:paraId="6439AF8C" w14:textId="77777777" w:rsidTr="00C56F61">
        <w:trPr>
          <w:trHeight w:val="735"/>
        </w:trPr>
        <w:tc>
          <w:tcPr>
            <w:tcW w:w="230" w:type="pct"/>
            <w:tcBorders>
              <w:top w:val="nil"/>
              <w:left w:val="nil"/>
              <w:bottom w:val="single" w:sz="4" w:space="0" w:color="auto"/>
              <w:right w:val="single" w:sz="4" w:space="0" w:color="auto"/>
            </w:tcBorders>
            <w:shd w:val="clear" w:color="auto" w:fill="auto"/>
            <w:noWrap/>
            <w:vAlign w:val="center"/>
            <w:hideMark/>
          </w:tcPr>
          <w:p w14:paraId="422732C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3</w:t>
            </w:r>
          </w:p>
        </w:tc>
        <w:tc>
          <w:tcPr>
            <w:tcW w:w="362" w:type="pct"/>
            <w:tcBorders>
              <w:top w:val="nil"/>
              <w:left w:val="nil"/>
              <w:bottom w:val="single" w:sz="4" w:space="0" w:color="auto"/>
              <w:right w:val="single" w:sz="4" w:space="0" w:color="auto"/>
            </w:tcBorders>
            <w:shd w:val="clear" w:color="auto" w:fill="auto"/>
            <w:vAlign w:val="center"/>
            <w:hideMark/>
          </w:tcPr>
          <w:p w14:paraId="74D35D6B"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2015-IT-TM-0144</w:t>
            </w:r>
          </w:p>
          <w:p w14:paraId="6BB3D85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041D47">
              <w:rPr>
                <w:rFonts w:eastAsia="Times New Roman" w:cs="Times New Roman"/>
                <w:color w:val="auto"/>
                <w:sz w:val="16"/>
                <w:szCs w:val="16"/>
                <w:bdr w:val="none" w:sz="0" w:space="0" w:color="auto"/>
                <w:vertAlign w:val="superscript"/>
                <w:lang w:val="en-GB" w:eastAsia="en-GB"/>
              </w:rPr>
              <w:t>13</w:t>
            </w:r>
          </w:p>
        </w:tc>
        <w:tc>
          <w:tcPr>
            <w:tcW w:w="548" w:type="pct"/>
            <w:gridSpan w:val="2"/>
            <w:tcBorders>
              <w:top w:val="nil"/>
              <w:left w:val="nil"/>
              <w:bottom w:val="single" w:sz="4" w:space="0" w:color="auto"/>
              <w:right w:val="single" w:sz="4" w:space="0" w:color="auto"/>
            </w:tcBorders>
            <w:shd w:val="clear" w:color="auto" w:fill="auto"/>
            <w:vAlign w:val="center"/>
            <w:hideMark/>
          </w:tcPr>
          <w:p w14:paraId="6D8069C9"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Progettazione della </w:t>
            </w:r>
            <w:r w:rsidRPr="00922A9B">
              <w:rPr>
                <w:rFonts w:eastAsia="Times New Roman" w:cs="Times New Roman"/>
                <w:color w:val="auto"/>
                <w:sz w:val="16"/>
                <w:szCs w:val="16"/>
                <w:bdr w:val="none" w:sz="0" w:space="0" w:color="auto"/>
                <w:lang w:eastAsia="en-GB"/>
              </w:rPr>
              <w:t>connession</w:t>
            </w:r>
            <w:r>
              <w:rPr>
                <w:rFonts w:eastAsia="Times New Roman" w:cs="Times New Roman"/>
                <w:color w:val="auto"/>
                <w:sz w:val="16"/>
                <w:szCs w:val="16"/>
                <w:bdr w:val="none" w:sz="0" w:space="0" w:color="auto"/>
                <w:lang w:eastAsia="en-GB"/>
              </w:rPr>
              <w:t>e ferroviaria</w:t>
            </w:r>
            <w:r w:rsidRPr="00922A9B">
              <w:rPr>
                <w:rFonts w:eastAsia="Times New Roman" w:cs="Times New Roman"/>
                <w:color w:val="auto"/>
                <w:sz w:val="16"/>
                <w:szCs w:val="16"/>
                <w:bdr w:val="none" w:sz="0" w:space="0" w:color="auto"/>
                <w:lang w:eastAsia="en-GB"/>
              </w:rPr>
              <w:t xml:space="preserve"> dell'aeroporto di Venezia</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7267238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30/09/17</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79CBC8D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w:t>
            </w:r>
            <w:r w:rsidRPr="00D5261C">
              <w:rPr>
                <w:rFonts w:eastAsia="Times New Roman" w:cs="Times New Roman"/>
                <w:color w:val="auto"/>
                <w:sz w:val="16"/>
                <w:szCs w:val="16"/>
                <w:bdr w:val="none" w:sz="0" w:space="0" w:color="auto"/>
                <w:lang w:val="en-GB" w:eastAsia="en-GB"/>
              </w:rPr>
              <w:t xml:space="preserve">.898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19E4BA3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5261C">
              <w:rPr>
                <w:rFonts w:eastAsia="Times New Roman" w:cs="Times New Roman"/>
                <w:color w:val="auto"/>
                <w:sz w:val="16"/>
                <w:szCs w:val="16"/>
                <w:bdr w:val="none" w:sz="0" w:space="0" w:color="auto"/>
                <w:lang w:val="en-GB" w:eastAsia="en-GB"/>
              </w:rPr>
              <w:t xml:space="preserve"> 3.449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76C9CA2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w:t>
            </w:r>
            <w:r w:rsidRPr="00D5261C">
              <w:rPr>
                <w:rFonts w:eastAsia="Times New Roman" w:cs="Times New Roman"/>
                <w:color w:val="auto"/>
                <w:sz w:val="16"/>
                <w:szCs w:val="16"/>
                <w:bdr w:val="none" w:sz="0" w:space="0" w:color="auto"/>
                <w:lang w:val="en-GB" w:eastAsia="en-GB"/>
              </w:rPr>
              <w:t xml:space="preserve">.898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365CBD5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5261C">
              <w:rPr>
                <w:rFonts w:eastAsia="Times New Roman" w:cs="Times New Roman"/>
                <w:color w:val="auto"/>
                <w:sz w:val="16"/>
                <w:szCs w:val="16"/>
                <w:bdr w:val="none" w:sz="0" w:space="0" w:color="auto"/>
                <w:lang w:val="en-GB" w:eastAsia="en-GB"/>
              </w:rPr>
              <w:t xml:space="preserve"> 3.449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1ED7982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5261C">
              <w:rPr>
                <w:rFonts w:eastAsia="Times New Roman" w:cs="Times New Roman"/>
                <w:color w:val="auto"/>
                <w:sz w:val="16"/>
                <w:szCs w:val="16"/>
                <w:bdr w:val="none" w:sz="0" w:space="0" w:color="auto"/>
                <w:lang w:val="en-GB" w:eastAsia="en-GB"/>
              </w:rPr>
              <w:t xml:space="preserve"> 3.449</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4FF5E8B0" w14:textId="77777777" w:rsidR="00B326C9" w:rsidRPr="00AD39B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sz w:val="16"/>
                <w:szCs w:val="16"/>
                <w:bdr w:val="none" w:sz="0" w:space="0" w:color="auto"/>
                <w:lang w:val="en-GB" w:eastAsia="en-GB"/>
              </w:rPr>
            </w:pPr>
            <w:r>
              <w:rPr>
                <w:sz w:val="16"/>
                <w:szCs w:val="16"/>
              </w:rPr>
              <w:t>100</w:t>
            </w:r>
            <w:r w:rsidRPr="00AD39B7">
              <w:rPr>
                <w:sz w:val="16"/>
                <w:szCs w:val="16"/>
              </w:rPr>
              <w:t>,0</w:t>
            </w:r>
          </w:p>
        </w:tc>
        <w:tc>
          <w:tcPr>
            <w:tcW w:w="464" w:type="pct"/>
            <w:gridSpan w:val="6"/>
            <w:tcBorders>
              <w:top w:val="nil"/>
              <w:left w:val="nil"/>
              <w:bottom w:val="single" w:sz="4" w:space="0" w:color="auto"/>
              <w:right w:val="single" w:sz="4" w:space="0" w:color="auto"/>
            </w:tcBorders>
            <w:shd w:val="clear" w:color="auto" w:fill="auto"/>
            <w:vAlign w:val="center"/>
            <w:hideMark/>
          </w:tcPr>
          <w:p w14:paraId="27EC88D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r w:rsidRPr="00D5261C">
              <w:rPr>
                <w:rFonts w:eastAsia="Times New Roman" w:cs="Times New Roman"/>
                <w:color w:val="auto"/>
                <w:sz w:val="16"/>
                <w:szCs w:val="16"/>
                <w:bdr w:val="none" w:sz="0" w:space="0" w:color="auto"/>
                <w:lang w:val="en-GB" w:eastAsia="en-GB"/>
              </w:rPr>
              <w:t xml:space="preserve">  551 </w:t>
            </w:r>
          </w:p>
        </w:tc>
        <w:tc>
          <w:tcPr>
            <w:tcW w:w="407" w:type="pct"/>
            <w:gridSpan w:val="2"/>
            <w:tcBorders>
              <w:top w:val="nil"/>
              <w:left w:val="nil"/>
              <w:bottom w:val="single" w:sz="4" w:space="0" w:color="auto"/>
              <w:right w:val="single" w:sz="4" w:space="0" w:color="auto"/>
            </w:tcBorders>
            <w:shd w:val="clear" w:color="auto" w:fill="auto"/>
            <w:vAlign w:val="center"/>
            <w:hideMark/>
          </w:tcPr>
          <w:p w14:paraId="3849B4C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5261C">
              <w:rPr>
                <w:rFonts w:eastAsia="Times New Roman" w:cs="Times New Roman"/>
                <w:color w:val="auto"/>
                <w:sz w:val="16"/>
                <w:szCs w:val="16"/>
                <w:bdr w:val="none" w:sz="0" w:space="0" w:color="auto"/>
                <w:lang w:val="en-GB" w:eastAsia="en-GB"/>
              </w:rPr>
              <w:t xml:space="preserve">     6.898 </w:t>
            </w:r>
          </w:p>
        </w:tc>
        <w:tc>
          <w:tcPr>
            <w:tcW w:w="199" w:type="pct"/>
            <w:gridSpan w:val="2"/>
            <w:tcBorders>
              <w:top w:val="nil"/>
              <w:left w:val="nil"/>
              <w:bottom w:val="single" w:sz="4" w:space="0" w:color="auto"/>
            </w:tcBorders>
            <w:shd w:val="clear" w:color="auto" w:fill="auto"/>
            <w:vAlign w:val="center"/>
            <w:hideMark/>
          </w:tcPr>
          <w:p w14:paraId="7EAA3ED7"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100</w:t>
            </w:r>
          </w:p>
        </w:tc>
      </w:tr>
      <w:tr w:rsidR="00B326C9" w:rsidRPr="00922A9B" w14:paraId="2A005EC7" w14:textId="77777777" w:rsidTr="00C56F61">
        <w:trPr>
          <w:trHeight w:val="267"/>
        </w:trPr>
        <w:tc>
          <w:tcPr>
            <w:tcW w:w="230" w:type="pct"/>
            <w:tcBorders>
              <w:top w:val="nil"/>
              <w:left w:val="nil"/>
              <w:bottom w:val="single" w:sz="4" w:space="0" w:color="auto"/>
              <w:right w:val="single" w:sz="4" w:space="0" w:color="auto"/>
            </w:tcBorders>
            <w:shd w:val="clear" w:color="auto" w:fill="auto"/>
            <w:noWrap/>
            <w:vAlign w:val="center"/>
            <w:hideMark/>
          </w:tcPr>
          <w:p w14:paraId="1410680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4</w:t>
            </w:r>
          </w:p>
        </w:tc>
        <w:tc>
          <w:tcPr>
            <w:tcW w:w="362" w:type="pct"/>
            <w:tcBorders>
              <w:top w:val="nil"/>
              <w:left w:val="nil"/>
              <w:bottom w:val="single" w:sz="4" w:space="0" w:color="auto"/>
              <w:right w:val="single" w:sz="4" w:space="0" w:color="auto"/>
            </w:tcBorders>
            <w:shd w:val="clear" w:color="auto" w:fill="auto"/>
            <w:vAlign w:val="center"/>
            <w:hideMark/>
          </w:tcPr>
          <w:p w14:paraId="54728F2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2015-IT-TM-0168</w:t>
            </w:r>
            <w:r w:rsidR="00B65419">
              <w:rPr>
                <w:rFonts w:eastAsia="Times New Roman" w:cs="Times New Roman"/>
                <w:color w:val="auto"/>
                <w:sz w:val="16"/>
                <w:szCs w:val="16"/>
                <w:bdr w:val="none" w:sz="0" w:space="0" w:color="auto"/>
                <w:lang w:val="en-GB" w:eastAsia="en-GB"/>
              </w:rPr>
              <w:t xml:space="preserve">   </w:t>
            </w:r>
            <w:r w:rsidRPr="00922A9B">
              <w:rPr>
                <w:rFonts w:eastAsia="Times New Roman" w:cs="Times New Roman"/>
                <w:color w:val="auto"/>
                <w:sz w:val="16"/>
                <w:szCs w:val="16"/>
                <w:bdr w:val="none" w:sz="0" w:space="0" w:color="auto"/>
                <w:lang w:val="en-GB" w:eastAsia="en-GB"/>
              </w:rPr>
              <w:t>-W</w:t>
            </w:r>
          </w:p>
        </w:tc>
        <w:tc>
          <w:tcPr>
            <w:tcW w:w="548" w:type="pct"/>
            <w:gridSpan w:val="2"/>
            <w:tcBorders>
              <w:top w:val="nil"/>
              <w:left w:val="nil"/>
              <w:bottom w:val="single" w:sz="4" w:space="0" w:color="auto"/>
              <w:right w:val="single" w:sz="4" w:space="0" w:color="auto"/>
            </w:tcBorders>
            <w:shd w:val="clear" w:color="auto" w:fill="auto"/>
            <w:vAlign w:val="center"/>
            <w:hideMark/>
          </w:tcPr>
          <w:p w14:paraId="49EBC6FB"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ERTMS - </w:t>
            </w:r>
            <w:r w:rsidRPr="00922A9B">
              <w:rPr>
                <w:rFonts w:eastAsia="Times New Roman" w:cs="Times New Roman"/>
                <w:color w:val="auto"/>
                <w:sz w:val="16"/>
                <w:szCs w:val="16"/>
                <w:bdr w:val="none" w:sz="0" w:space="0" w:color="auto"/>
                <w:lang w:eastAsia="en-GB"/>
              </w:rPr>
              <w:t xml:space="preserve">Installazione ERTMS B3 lungo 512 Km dei </w:t>
            </w:r>
            <w:r>
              <w:rPr>
                <w:rFonts w:eastAsia="Times New Roman" w:cs="Times New Roman"/>
                <w:color w:val="auto"/>
                <w:sz w:val="16"/>
                <w:szCs w:val="16"/>
                <w:bdr w:val="none" w:sz="0" w:space="0" w:color="auto"/>
                <w:lang w:eastAsia="en-GB"/>
              </w:rPr>
              <w:t>C</w:t>
            </w:r>
            <w:r w:rsidRPr="00922A9B">
              <w:rPr>
                <w:rFonts w:eastAsia="Times New Roman" w:cs="Times New Roman"/>
                <w:color w:val="auto"/>
                <w:sz w:val="16"/>
                <w:szCs w:val="16"/>
                <w:bdr w:val="none" w:sz="0" w:space="0" w:color="auto"/>
                <w:lang w:eastAsia="en-GB"/>
              </w:rPr>
              <w:t>orridoi Mediterraneo, Scandinavo–Mediterraneo e Baltico–Adriatico in IT.</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753D5AE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4DD55A4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91.420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0CF6756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45.710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6603793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91.420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2E4E09A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45.710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02D5EB6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3.698</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63B44859" w14:textId="77777777" w:rsidR="00B326C9" w:rsidRPr="00AD39B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sz w:val="16"/>
                <w:szCs w:val="16"/>
                <w:bdr w:val="none" w:sz="0" w:space="0" w:color="auto"/>
                <w:lang w:val="en-GB" w:eastAsia="en-GB"/>
              </w:rPr>
            </w:pPr>
            <w:r>
              <w:rPr>
                <w:sz w:val="16"/>
                <w:szCs w:val="16"/>
              </w:rPr>
              <w:t>8,1</w:t>
            </w:r>
          </w:p>
        </w:tc>
        <w:tc>
          <w:tcPr>
            <w:tcW w:w="464" w:type="pct"/>
            <w:gridSpan w:val="6"/>
            <w:tcBorders>
              <w:top w:val="nil"/>
              <w:left w:val="nil"/>
              <w:bottom w:val="single" w:sz="4" w:space="0" w:color="auto"/>
              <w:right w:val="single" w:sz="4" w:space="0" w:color="auto"/>
            </w:tcBorders>
            <w:shd w:val="clear" w:color="auto" w:fill="auto"/>
            <w:vAlign w:val="center"/>
            <w:hideMark/>
          </w:tcPr>
          <w:p w14:paraId="1648633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nil"/>
              <w:left w:val="nil"/>
              <w:bottom w:val="single" w:sz="4" w:space="0" w:color="auto"/>
              <w:right w:val="single" w:sz="4" w:space="0" w:color="auto"/>
            </w:tcBorders>
            <w:shd w:val="clear" w:color="auto" w:fill="auto"/>
            <w:vAlign w:val="center"/>
            <w:hideMark/>
          </w:tcPr>
          <w:p w14:paraId="721205A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3.185</w:t>
            </w:r>
          </w:p>
        </w:tc>
        <w:tc>
          <w:tcPr>
            <w:tcW w:w="199" w:type="pct"/>
            <w:gridSpan w:val="2"/>
            <w:tcBorders>
              <w:top w:val="nil"/>
              <w:left w:val="nil"/>
              <w:bottom w:val="single" w:sz="4" w:space="0" w:color="auto"/>
            </w:tcBorders>
            <w:shd w:val="clear" w:color="auto" w:fill="auto"/>
            <w:vAlign w:val="center"/>
            <w:hideMark/>
          </w:tcPr>
          <w:p w14:paraId="386F89A5"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w:t>
            </w:r>
          </w:p>
        </w:tc>
      </w:tr>
      <w:tr w:rsidR="00B326C9" w:rsidRPr="00922A9B" w14:paraId="0E741AB3"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hideMark/>
          </w:tcPr>
          <w:p w14:paraId="6B40B7F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5</w:t>
            </w:r>
          </w:p>
        </w:tc>
        <w:tc>
          <w:tcPr>
            <w:tcW w:w="362" w:type="pct"/>
            <w:tcBorders>
              <w:top w:val="nil"/>
              <w:left w:val="nil"/>
              <w:bottom w:val="single" w:sz="4" w:space="0" w:color="auto"/>
              <w:right w:val="single" w:sz="4" w:space="0" w:color="auto"/>
            </w:tcBorders>
            <w:shd w:val="clear" w:color="auto" w:fill="auto"/>
            <w:vAlign w:val="center"/>
            <w:hideMark/>
          </w:tcPr>
          <w:p w14:paraId="2CDF0129"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2016-IT-TM-0244</w:t>
            </w:r>
          </w:p>
          <w:p w14:paraId="023C47C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48" w:type="pct"/>
            <w:gridSpan w:val="2"/>
            <w:tcBorders>
              <w:top w:val="nil"/>
              <w:left w:val="nil"/>
              <w:bottom w:val="single" w:sz="4" w:space="0" w:color="auto"/>
              <w:right w:val="single" w:sz="4" w:space="0" w:color="auto"/>
            </w:tcBorders>
            <w:shd w:val="clear" w:color="auto" w:fill="auto"/>
            <w:vAlign w:val="center"/>
            <w:hideMark/>
          </w:tcPr>
          <w:p w14:paraId="5D9B6F5E"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ERTMS -</w:t>
            </w:r>
            <w:r w:rsidRPr="00922A9B">
              <w:rPr>
                <w:rFonts w:eastAsia="Times New Roman" w:cs="Times New Roman"/>
                <w:color w:val="auto"/>
                <w:sz w:val="16"/>
                <w:szCs w:val="16"/>
                <w:bdr w:val="none" w:sz="0" w:space="0" w:color="auto"/>
                <w:lang w:eastAsia="en-GB"/>
              </w:rPr>
              <w:t xml:space="preserve">Implementazione </w:t>
            </w:r>
            <w:r>
              <w:rPr>
                <w:rFonts w:eastAsia="Times New Roman" w:cs="Times New Roman"/>
                <w:color w:val="auto"/>
                <w:sz w:val="16"/>
                <w:szCs w:val="16"/>
                <w:bdr w:val="none" w:sz="0" w:space="0" w:color="auto"/>
                <w:lang w:eastAsia="en-GB"/>
              </w:rPr>
              <w:t xml:space="preserve">del sistema </w:t>
            </w:r>
            <w:r w:rsidRPr="00922A9B">
              <w:rPr>
                <w:rFonts w:eastAsia="Times New Roman" w:cs="Times New Roman"/>
                <w:color w:val="auto"/>
                <w:sz w:val="16"/>
                <w:szCs w:val="16"/>
                <w:bdr w:val="none" w:sz="0" w:space="0" w:color="auto"/>
                <w:lang w:eastAsia="en-GB"/>
              </w:rPr>
              <w:t xml:space="preserve">ERTMS </w:t>
            </w:r>
            <w:r>
              <w:rPr>
                <w:rFonts w:eastAsia="Times New Roman" w:cs="Times New Roman"/>
                <w:color w:val="auto"/>
                <w:sz w:val="16"/>
                <w:szCs w:val="16"/>
                <w:bdr w:val="none" w:sz="0" w:space="0" w:color="auto"/>
                <w:lang w:eastAsia="en-GB"/>
              </w:rPr>
              <w:t>B</w:t>
            </w:r>
            <w:r w:rsidRPr="00922A9B">
              <w:rPr>
                <w:rFonts w:eastAsia="Times New Roman" w:cs="Times New Roman"/>
                <w:color w:val="auto"/>
                <w:sz w:val="16"/>
                <w:szCs w:val="16"/>
                <w:bdr w:val="none" w:sz="0" w:space="0" w:color="auto"/>
                <w:lang w:eastAsia="en-GB"/>
              </w:rPr>
              <w:t xml:space="preserve">3 di livello 2 nelle sezioni di Novara - Padova - Venezia Mestre e Milano -Tortona. </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hideMark/>
          </w:tcPr>
          <w:p w14:paraId="2F0C589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07AEA75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54.500</w:t>
            </w:r>
            <w:r w:rsidRPr="00922A9B">
              <w:rPr>
                <w:rFonts w:eastAsia="Times New Roman" w:cs="Times New Roman"/>
                <w:color w:val="auto"/>
                <w:sz w:val="16"/>
                <w:szCs w:val="16"/>
                <w:bdr w:val="none" w:sz="0" w:space="0" w:color="auto"/>
                <w:lang w:val="en-GB" w:eastAsia="en-GB"/>
              </w:rPr>
              <w:t xml:space="preserve">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5256875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27.250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5C92695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54.500</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77E142C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27.250 </w:t>
            </w:r>
          </w:p>
        </w:tc>
        <w:tc>
          <w:tcPr>
            <w:tcW w:w="451" w:type="pct"/>
            <w:gridSpan w:val="3"/>
            <w:tcBorders>
              <w:top w:val="nil"/>
              <w:left w:val="nil"/>
              <w:bottom w:val="single" w:sz="4" w:space="0" w:color="auto"/>
              <w:right w:val="single" w:sz="4" w:space="0" w:color="auto"/>
            </w:tcBorders>
            <w:shd w:val="clear" w:color="auto" w:fill="auto"/>
            <w:noWrap/>
            <w:vAlign w:val="center"/>
            <w:hideMark/>
          </w:tcPr>
          <w:p w14:paraId="17CB509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2.621</w:t>
            </w:r>
          </w:p>
        </w:tc>
        <w:tc>
          <w:tcPr>
            <w:tcW w:w="298" w:type="pct"/>
            <w:gridSpan w:val="4"/>
            <w:tcBorders>
              <w:top w:val="nil"/>
              <w:left w:val="nil"/>
              <w:bottom w:val="single" w:sz="4" w:space="0" w:color="auto"/>
              <w:right w:val="single" w:sz="4" w:space="0" w:color="auto"/>
            </w:tcBorders>
            <w:shd w:val="clear" w:color="auto" w:fill="auto"/>
            <w:noWrap/>
            <w:vAlign w:val="center"/>
            <w:hideMark/>
          </w:tcPr>
          <w:p w14:paraId="6DDE8BC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44421">
              <w:rPr>
                <w:rFonts w:eastAsia="Times New Roman" w:cs="Times New Roman"/>
                <w:color w:val="auto"/>
                <w:sz w:val="16"/>
                <w:szCs w:val="16"/>
                <w:bdr w:val="none" w:sz="0" w:space="0" w:color="auto"/>
                <w:lang w:val="en-GB" w:eastAsia="en-GB"/>
              </w:rPr>
              <w:t>9,6</w:t>
            </w:r>
          </w:p>
        </w:tc>
        <w:tc>
          <w:tcPr>
            <w:tcW w:w="464" w:type="pct"/>
            <w:gridSpan w:val="6"/>
            <w:tcBorders>
              <w:top w:val="nil"/>
              <w:left w:val="nil"/>
              <w:bottom w:val="single" w:sz="4" w:space="0" w:color="auto"/>
              <w:right w:val="single" w:sz="4" w:space="0" w:color="auto"/>
            </w:tcBorders>
            <w:shd w:val="clear" w:color="auto" w:fill="auto"/>
            <w:vAlign w:val="center"/>
          </w:tcPr>
          <w:p w14:paraId="0DA5984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nil"/>
              <w:left w:val="nil"/>
              <w:bottom w:val="single" w:sz="4" w:space="0" w:color="auto"/>
              <w:right w:val="single" w:sz="4" w:space="0" w:color="auto"/>
            </w:tcBorders>
            <w:shd w:val="clear" w:color="auto" w:fill="auto"/>
            <w:vAlign w:val="center"/>
            <w:hideMark/>
          </w:tcPr>
          <w:p w14:paraId="24D0AC9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3.868</w:t>
            </w:r>
          </w:p>
        </w:tc>
        <w:tc>
          <w:tcPr>
            <w:tcW w:w="199" w:type="pct"/>
            <w:gridSpan w:val="2"/>
            <w:tcBorders>
              <w:top w:val="nil"/>
              <w:left w:val="nil"/>
              <w:bottom w:val="single" w:sz="4" w:space="0" w:color="auto"/>
            </w:tcBorders>
            <w:shd w:val="clear" w:color="auto" w:fill="auto"/>
            <w:vAlign w:val="center"/>
            <w:hideMark/>
          </w:tcPr>
          <w:p w14:paraId="747A2F43"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11</w:t>
            </w:r>
          </w:p>
        </w:tc>
      </w:tr>
      <w:tr w:rsidR="00B326C9" w:rsidRPr="00922A9B" w14:paraId="20F343EF"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tcPr>
          <w:p w14:paraId="1730F42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16</w:t>
            </w:r>
          </w:p>
        </w:tc>
        <w:tc>
          <w:tcPr>
            <w:tcW w:w="362" w:type="pct"/>
            <w:tcBorders>
              <w:top w:val="nil"/>
              <w:left w:val="nil"/>
              <w:bottom w:val="single" w:sz="4" w:space="0" w:color="auto"/>
              <w:right w:val="single" w:sz="4" w:space="0" w:color="auto"/>
            </w:tcBorders>
            <w:shd w:val="clear" w:color="auto" w:fill="auto"/>
            <w:vAlign w:val="center"/>
          </w:tcPr>
          <w:p w14:paraId="4C13860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val="en-GB" w:eastAsia="en-GB"/>
              </w:rPr>
            </w:pPr>
            <w:r w:rsidRPr="00565D15">
              <w:rPr>
                <w:rFonts w:eastAsia="Times New Roman" w:cs="Times New Roman"/>
                <w:color w:val="auto"/>
                <w:sz w:val="16"/>
                <w:szCs w:val="16"/>
                <w:bdr w:val="none" w:sz="0" w:space="0" w:color="auto"/>
                <w:lang w:val="en-GB" w:eastAsia="en-GB"/>
              </w:rPr>
              <w:t>2017-IT-TM-0003</w:t>
            </w:r>
            <w:r w:rsidR="00B65419">
              <w:rPr>
                <w:rFonts w:eastAsia="Times New Roman" w:cs="Times New Roman"/>
                <w:color w:val="auto"/>
                <w:sz w:val="16"/>
                <w:szCs w:val="16"/>
                <w:bdr w:val="none" w:sz="0" w:space="0" w:color="auto"/>
                <w:lang w:val="en-GB" w:eastAsia="en-GB"/>
              </w:rPr>
              <w:t xml:space="preserve">   </w:t>
            </w:r>
            <w:r w:rsidRPr="00565D15">
              <w:rPr>
                <w:rFonts w:eastAsia="Times New Roman" w:cs="Times New Roman"/>
                <w:color w:val="auto"/>
                <w:sz w:val="16"/>
                <w:szCs w:val="16"/>
                <w:bdr w:val="none" w:sz="0" w:space="0" w:color="auto"/>
                <w:lang w:val="en-GB" w:eastAsia="en-GB"/>
              </w:rPr>
              <w:t>-W</w:t>
            </w:r>
          </w:p>
        </w:tc>
        <w:tc>
          <w:tcPr>
            <w:tcW w:w="548" w:type="pct"/>
            <w:gridSpan w:val="2"/>
            <w:tcBorders>
              <w:top w:val="nil"/>
              <w:left w:val="nil"/>
              <w:bottom w:val="single" w:sz="4" w:space="0" w:color="auto"/>
              <w:right w:val="single" w:sz="4" w:space="0" w:color="auto"/>
            </w:tcBorders>
            <w:shd w:val="clear" w:color="auto" w:fill="auto"/>
            <w:vAlign w:val="center"/>
          </w:tcPr>
          <w:p w14:paraId="2409E981"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565D15">
              <w:rPr>
                <w:rFonts w:eastAsia="Times New Roman" w:cs="Times New Roman"/>
                <w:color w:val="auto"/>
                <w:sz w:val="16"/>
                <w:szCs w:val="16"/>
                <w:bdr w:val="none" w:sz="0" w:space="0" w:color="auto"/>
                <w:lang w:eastAsia="en-GB"/>
              </w:rPr>
              <w:t xml:space="preserve">ERTMS </w:t>
            </w:r>
            <w:proofErr w:type="spellStart"/>
            <w:r w:rsidRPr="00565D15">
              <w:rPr>
                <w:rFonts w:eastAsia="Times New Roman" w:cs="Times New Roman"/>
                <w:color w:val="auto"/>
                <w:sz w:val="16"/>
                <w:szCs w:val="16"/>
                <w:bdr w:val="none" w:sz="0" w:space="0" w:color="auto"/>
                <w:lang w:eastAsia="en-GB"/>
              </w:rPr>
              <w:t>onboard</w:t>
            </w:r>
            <w:proofErr w:type="spellEnd"/>
            <w:proofErr w:type="gramStart"/>
            <w:r w:rsidRPr="00565D15">
              <w:rPr>
                <w:rFonts w:eastAsia="Times New Roman" w:cs="Times New Roman"/>
                <w:color w:val="auto"/>
                <w:sz w:val="16"/>
                <w:szCs w:val="16"/>
                <w:bdr w:val="none" w:sz="0" w:space="0" w:color="auto"/>
                <w:lang w:eastAsia="en-GB"/>
              </w:rPr>
              <w:t>-  Retrofitting</w:t>
            </w:r>
            <w:proofErr w:type="gramEnd"/>
            <w:r w:rsidRPr="00565D15">
              <w:rPr>
                <w:rFonts w:eastAsia="Times New Roman" w:cs="Times New Roman"/>
                <w:color w:val="auto"/>
                <w:sz w:val="16"/>
                <w:szCs w:val="16"/>
                <w:bdr w:val="none" w:sz="0" w:space="0" w:color="auto"/>
                <w:lang w:eastAsia="en-GB"/>
              </w:rPr>
              <w:t xml:space="preserve"> di 41 locomotive  E405 e 20 locomotive E412</w:t>
            </w:r>
            <w:r w:rsidR="00D477D8">
              <w:rPr>
                <w:rFonts w:eastAsia="Times New Roman" w:cs="Times New Roman"/>
                <w:color w:val="auto"/>
                <w:sz w:val="16"/>
                <w:szCs w:val="16"/>
                <w:bdr w:val="none" w:sz="0" w:space="0" w:color="auto"/>
                <w:lang w:eastAsia="en-GB"/>
              </w:rPr>
              <w:t xml:space="preserve">  con  ETCS/ERTMS L2 Baseline 3</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tcPr>
          <w:p w14:paraId="2B4FB25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val="en-GB" w:eastAsia="en-GB"/>
              </w:rPr>
              <w:t>30/06/23</w:t>
            </w:r>
          </w:p>
        </w:tc>
        <w:tc>
          <w:tcPr>
            <w:tcW w:w="445" w:type="pct"/>
            <w:gridSpan w:val="3"/>
            <w:tcBorders>
              <w:top w:val="nil"/>
              <w:left w:val="nil"/>
              <w:bottom w:val="single" w:sz="4" w:space="0" w:color="auto"/>
              <w:right w:val="single" w:sz="4" w:space="0" w:color="auto"/>
            </w:tcBorders>
            <w:shd w:val="clear" w:color="auto" w:fill="auto"/>
            <w:noWrap/>
            <w:vAlign w:val="center"/>
          </w:tcPr>
          <w:p w14:paraId="2B7A4B9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12.301</w:t>
            </w:r>
          </w:p>
        </w:tc>
        <w:tc>
          <w:tcPr>
            <w:tcW w:w="420" w:type="pct"/>
            <w:gridSpan w:val="2"/>
            <w:tcBorders>
              <w:top w:val="nil"/>
              <w:left w:val="nil"/>
              <w:bottom w:val="single" w:sz="4" w:space="0" w:color="auto"/>
              <w:right w:val="single" w:sz="4" w:space="0" w:color="auto"/>
            </w:tcBorders>
            <w:shd w:val="clear" w:color="auto" w:fill="auto"/>
            <w:noWrap/>
            <w:vAlign w:val="center"/>
          </w:tcPr>
          <w:p w14:paraId="0DB397D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6.151</w:t>
            </w:r>
          </w:p>
        </w:tc>
        <w:tc>
          <w:tcPr>
            <w:tcW w:w="452" w:type="pct"/>
            <w:gridSpan w:val="3"/>
            <w:tcBorders>
              <w:top w:val="nil"/>
              <w:left w:val="nil"/>
              <w:bottom w:val="single" w:sz="4" w:space="0" w:color="auto"/>
              <w:right w:val="single" w:sz="4" w:space="0" w:color="auto"/>
            </w:tcBorders>
            <w:shd w:val="clear" w:color="auto" w:fill="auto"/>
            <w:noWrap/>
            <w:vAlign w:val="center"/>
          </w:tcPr>
          <w:p w14:paraId="3DD593E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12.301</w:t>
            </w:r>
          </w:p>
        </w:tc>
        <w:tc>
          <w:tcPr>
            <w:tcW w:w="456" w:type="pct"/>
            <w:gridSpan w:val="5"/>
            <w:tcBorders>
              <w:top w:val="nil"/>
              <w:left w:val="nil"/>
              <w:bottom w:val="single" w:sz="4" w:space="0" w:color="auto"/>
              <w:right w:val="single" w:sz="4" w:space="0" w:color="auto"/>
            </w:tcBorders>
            <w:shd w:val="clear" w:color="auto" w:fill="auto"/>
            <w:noWrap/>
            <w:vAlign w:val="center"/>
          </w:tcPr>
          <w:p w14:paraId="4597317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6.151</w:t>
            </w:r>
          </w:p>
        </w:tc>
        <w:tc>
          <w:tcPr>
            <w:tcW w:w="451" w:type="pct"/>
            <w:gridSpan w:val="3"/>
            <w:tcBorders>
              <w:top w:val="nil"/>
              <w:left w:val="nil"/>
              <w:bottom w:val="single" w:sz="4" w:space="0" w:color="auto"/>
              <w:right w:val="single" w:sz="4" w:space="0" w:color="auto"/>
            </w:tcBorders>
            <w:shd w:val="clear" w:color="auto" w:fill="auto"/>
            <w:noWrap/>
            <w:vAlign w:val="center"/>
          </w:tcPr>
          <w:p w14:paraId="5450D547"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146</w:t>
            </w:r>
          </w:p>
        </w:tc>
        <w:tc>
          <w:tcPr>
            <w:tcW w:w="298" w:type="pct"/>
            <w:gridSpan w:val="4"/>
            <w:tcBorders>
              <w:top w:val="nil"/>
              <w:left w:val="nil"/>
              <w:bottom w:val="single" w:sz="4" w:space="0" w:color="auto"/>
              <w:right w:val="single" w:sz="4" w:space="0" w:color="auto"/>
            </w:tcBorders>
            <w:shd w:val="clear" w:color="auto" w:fill="auto"/>
            <w:noWrap/>
            <w:vAlign w:val="center"/>
          </w:tcPr>
          <w:p w14:paraId="3C12F017"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12"/>
              <w:jc w:val="center"/>
              <w:rPr>
                <w:sz w:val="16"/>
                <w:szCs w:val="16"/>
              </w:rPr>
            </w:pPr>
            <w:r>
              <w:rPr>
                <w:sz w:val="16"/>
                <w:szCs w:val="16"/>
              </w:rPr>
              <w:t>2,4</w:t>
            </w:r>
          </w:p>
        </w:tc>
        <w:tc>
          <w:tcPr>
            <w:tcW w:w="464" w:type="pct"/>
            <w:gridSpan w:val="6"/>
            <w:tcBorders>
              <w:top w:val="nil"/>
              <w:left w:val="nil"/>
              <w:bottom w:val="single" w:sz="4" w:space="0" w:color="auto"/>
              <w:right w:val="single" w:sz="4" w:space="0" w:color="auto"/>
            </w:tcBorders>
            <w:shd w:val="clear" w:color="auto" w:fill="auto"/>
            <w:vAlign w:val="center"/>
          </w:tcPr>
          <w:p w14:paraId="3D91806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11F7549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57</w:t>
            </w:r>
          </w:p>
        </w:tc>
        <w:tc>
          <w:tcPr>
            <w:tcW w:w="199" w:type="pct"/>
            <w:gridSpan w:val="2"/>
            <w:tcBorders>
              <w:top w:val="nil"/>
              <w:left w:val="nil"/>
              <w:bottom w:val="single" w:sz="4" w:space="0" w:color="auto"/>
            </w:tcBorders>
            <w:shd w:val="clear" w:color="auto" w:fill="auto"/>
            <w:vAlign w:val="center"/>
          </w:tcPr>
          <w:p w14:paraId="58752402" w14:textId="77777777" w:rsidR="00B326C9" w:rsidRPr="002E17C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0</w:t>
            </w:r>
          </w:p>
        </w:tc>
      </w:tr>
      <w:tr w:rsidR="00B326C9" w:rsidRPr="00565D15" w14:paraId="696BEEA0"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tcPr>
          <w:p w14:paraId="2F81EE2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17</w:t>
            </w:r>
          </w:p>
        </w:tc>
        <w:tc>
          <w:tcPr>
            <w:tcW w:w="362" w:type="pct"/>
            <w:tcBorders>
              <w:top w:val="nil"/>
              <w:left w:val="nil"/>
              <w:bottom w:val="single" w:sz="4" w:space="0" w:color="auto"/>
              <w:right w:val="single" w:sz="4" w:space="0" w:color="auto"/>
            </w:tcBorders>
            <w:shd w:val="clear" w:color="auto" w:fill="auto"/>
            <w:vAlign w:val="center"/>
          </w:tcPr>
          <w:p w14:paraId="269B4A0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eastAsia="en-GB"/>
              </w:rPr>
            </w:pPr>
            <w:r w:rsidRPr="00565D15">
              <w:rPr>
                <w:rFonts w:eastAsia="Times New Roman" w:cs="Times New Roman"/>
                <w:color w:val="auto"/>
                <w:sz w:val="16"/>
                <w:szCs w:val="16"/>
                <w:bdr w:val="none" w:sz="0" w:space="0" w:color="auto"/>
                <w:lang w:eastAsia="en-GB"/>
              </w:rPr>
              <w:t>2018-EU-TM-0122</w:t>
            </w:r>
            <w:r w:rsidR="00B65419">
              <w:rPr>
                <w:rFonts w:eastAsia="Times New Roman" w:cs="Times New Roman"/>
                <w:color w:val="auto"/>
                <w:sz w:val="16"/>
                <w:szCs w:val="16"/>
                <w:bdr w:val="none" w:sz="0" w:space="0" w:color="auto"/>
                <w:lang w:eastAsia="en-GB"/>
              </w:rPr>
              <w:t xml:space="preserve">   </w:t>
            </w:r>
            <w:r w:rsidRPr="00565D15">
              <w:rPr>
                <w:rFonts w:eastAsia="Times New Roman" w:cs="Times New Roman"/>
                <w:color w:val="auto"/>
                <w:sz w:val="16"/>
                <w:szCs w:val="16"/>
                <w:bdr w:val="none" w:sz="0" w:space="0" w:color="auto"/>
                <w:lang w:eastAsia="en-GB"/>
              </w:rPr>
              <w:t>-W</w:t>
            </w:r>
          </w:p>
        </w:tc>
        <w:tc>
          <w:tcPr>
            <w:tcW w:w="548" w:type="pct"/>
            <w:gridSpan w:val="2"/>
            <w:tcBorders>
              <w:top w:val="nil"/>
              <w:left w:val="nil"/>
              <w:bottom w:val="single" w:sz="4" w:space="0" w:color="auto"/>
              <w:right w:val="single" w:sz="4" w:space="0" w:color="auto"/>
            </w:tcBorders>
            <w:shd w:val="clear" w:color="auto" w:fill="auto"/>
            <w:vAlign w:val="center"/>
          </w:tcPr>
          <w:p w14:paraId="2E74D1C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val="en-US" w:eastAsia="en-GB"/>
              </w:rPr>
            </w:pPr>
            <w:r w:rsidRPr="002E17CB">
              <w:rPr>
                <w:rFonts w:eastAsia="Times New Roman" w:cs="Times New Roman"/>
                <w:color w:val="auto"/>
                <w:sz w:val="16"/>
                <w:szCs w:val="16"/>
                <w:bdr w:val="none" w:sz="0" w:space="0" w:color="auto"/>
                <w:lang w:val="en-US" w:eastAsia="en-GB"/>
              </w:rPr>
              <w:t xml:space="preserve">I RAIL </w:t>
            </w:r>
            <w:r w:rsidR="00D477D8">
              <w:rPr>
                <w:rFonts w:eastAsia="Times New Roman" w:cs="Times New Roman"/>
                <w:color w:val="auto"/>
                <w:sz w:val="16"/>
                <w:szCs w:val="16"/>
                <w:bdr w:val="none" w:sz="0" w:space="0" w:color="auto"/>
                <w:lang w:val="en-US" w:eastAsia="en-GB"/>
              </w:rPr>
              <w:t>–</w:t>
            </w:r>
            <w:r w:rsidRPr="002E17CB">
              <w:rPr>
                <w:rFonts w:eastAsia="Times New Roman" w:cs="Times New Roman"/>
                <w:color w:val="auto"/>
                <w:sz w:val="16"/>
                <w:szCs w:val="16"/>
                <w:bdr w:val="none" w:sz="0" w:space="0" w:color="auto"/>
                <w:lang w:val="en-US" w:eastAsia="en-GB"/>
              </w:rPr>
              <w:t xml:space="preserve"> </w:t>
            </w:r>
            <w:proofErr w:type="spellStart"/>
            <w:r w:rsidRPr="002E17CB">
              <w:rPr>
                <w:rFonts w:eastAsia="Times New Roman" w:cs="Times New Roman"/>
                <w:color w:val="auto"/>
                <w:sz w:val="16"/>
                <w:szCs w:val="16"/>
                <w:bdr w:val="none" w:sz="0" w:space="0" w:color="auto"/>
                <w:lang w:val="en-US" w:eastAsia="en-GB"/>
              </w:rPr>
              <w:t>Interoperabili</w:t>
            </w:r>
            <w:proofErr w:type="spellEnd"/>
            <w:r w:rsidR="00D477D8">
              <w:rPr>
                <w:rFonts w:eastAsia="Times New Roman" w:cs="Times New Roman"/>
                <w:color w:val="auto"/>
                <w:sz w:val="16"/>
                <w:szCs w:val="16"/>
                <w:bdr w:val="none" w:sz="0" w:space="0" w:color="auto"/>
                <w:lang w:val="en-US" w:eastAsia="en-GB"/>
              </w:rPr>
              <w:t>-</w:t>
            </w:r>
            <w:r w:rsidRPr="002E17CB">
              <w:rPr>
                <w:rFonts w:eastAsia="Times New Roman" w:cs="Times New Roman"/>
                <w:color w:val="auto"/>
                <w:sz w:val="16"/>
                <w:szCs w:val="16"/>
                <w:bdr w:val="none" w:sz="0" w:space="0" w:color="auto"/>
                <w:lang w:val="en-US" w:eastAsia="en-GB"/>
              </w:rPr>
              <w:t>ty of the rail system with TAF TSI in TEN-T Corridors</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tcPr>
          <w:p w14:paraId="52A09F3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31/12/22</w:t>
            </w:r>
          </w:p>
        </w:tc>
        <w:tc>
          <w:tcPr>
            <w:tcW w:w="445" w:type="pct"/>
            <w:gridSpan w:val="3"/>
            <w:tcBorders>
              <w:top w:val="nil"/>
              <w:left w:val="nil"/>
              <w:bottom w:val="single" w:sz="4" w:space="0" w:color="auto"/>
              <w:right w:val="single" w:sz="4" w:space="0" w:color="auto"/>
            </w:tcBorders>
            <w:shd w:val="clear" w:color="auto" w:fill="auto"/>
            <w:noWrap/>
            <w:vAlign w:val="center"/>
          </w:tcPr>
          <w:p w14:paraId="7708548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3.941</w:t>
            </w:r>
          </w:p>
        </w:tc>
        <w:tc>
          <w:tcPr>
            <w:tcW w:w="420" w:type="pct"/>
            <w:gridSpan w:val="2"/>
            <w:tcBorders>
              <w:top w:val="nil"/>
              <w:left w:val="nil"/>
              <w:bottom w:val="single" w:sz="4" w:space="0" w:color="auto"/>
              <w:right w:val="single" w:sz="4" w:space="0" w:color="auto"/>
            </w:tcBorders>
            <w:shd w:val="clear" w:color="auto" w:fill="auto"/>
            <w:noWrap/>
            <w:vAlign w:val="center"/>
          </w:tcPr>
          <w:p w14:paraId="15A063B7"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1.576</w:t>
            </w:r>
          </w:p>
        </w:tc>
        <w:tc>
          <w:tcPr>
            <w:tcW w:w="452" w:type="pct"/>
            <w:gridSpan w:val="3"/>
            <w:tcBorders>
              <w:top w:val="nil"/>
              <w:left w:val="nil"/>
              <w:bottom w:val="single" w:sz="4" w:space="0" w:color="auto"/>
              <w:right w:val="single" w:sz="4" w:space="0" w:color="auto"/>
            </w:tcBorders>
            <w:shd w:val="clear" w:color="auto" w:fill="auto"/>
            <w:noWrap/>
            <w:vAlign w:val="center"/>
          </w:tcPr>
          <w:p w14:paraId="451E29D7"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11.957</w:t>
            </w:r>
          </w:p>
        </w:tc>
        <w:tc>
          <w:tcPr>
            <w:tcW w:w="456" w:type="pct"/>
            <w:gridSpan w:val="5"/>
            <w:tcBorders>
              <w:top w:val="nil"/>
              <w:left w:val="nil"/>
              <w:bottom w:val="single" w:sz="4" w:space="0" w:color="auto"/>
              <w:right w:val="single" w:sz="4" w:space="0" w:color="auto"/>
            </w:tcBorders>
            <w:shd w:val="clear" w:color="auto" w:fill="auto"/>
            <w:noWrap/>
            <w:vAlign w:val="center"/>
          </w:tcPr>
          <w:p w14:paraId="3137E616"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4.783</w:t>
            </w:r>
          </w:p>
        </w:tc>
        <w:tc>
          <w:tcPr>
            <w:tcW w:w="451" w:type="pct"/>
            <w:gridSpan w:val="3"/>
            <w:tcBorders>
              <w:top w:val="nil"/>
              <w:left w:val="nil"/>
              <w:bottom w:val="single" w:sz="4" w:space="0" w:color="auto"/>
              <w:right w:val="single" w:sz="4" w:space="0" w:color="auto"/>
            </w:tcBorders>
            <w:shd w:val="clear" w:color="auto" w:fill="auto"/>
            <w:noWrap/>
            <w:vAlign w:val="center"/>
          </w:tcPr>
          <w:p w14:paraId="4882B0A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128</w:t>
            </w:r>
          </w:p>
        </w:tc>
        <w:tc>
          <w:tcPr>
            <w:tcW w:w="298" w:type="pct"/>
            <w:gridSpan w:val="4"/>
            <w:tcBorders>
              <w:top w:val="nil"/>
              <w:left w:val="nil"/>
              <w:bottom w:val="single" w:sz="4" w:space="0" w:color="auto"/>
              <w:right w:val="single" w:sz="4" w:space="0" w:color="auto"/>
            </w:tcBorders>
            <w:shd w:val="clear" w:color="auto" w:fill="auto"/>
            <w:noWrap/>
            <w:vAlign w:val="center"/>
          </w:tcPr>
          <w:p w14:paraId="58C1097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12"/>
              <w:jc w:val="center"/>
              <w:rPr>
                <w:sz w:val="16"/>
                <w:szCs w:val="16"/>
                <w:lang w:val="en-US"/>
              </w:rPr>
            </w:pPr>
            <w:r>
              <w:rPr>
                <w:sz w:val="16"/>
                <w:szCs w:val="16"/>
                <w:lang w:val="en-US"/>
              </w:rPr>
              <w:t>8,1</w:t>
            </w:r>
          </w:p>
        </w:tc>
        <w:tc>
          <w:tcPr>
            <w:tcW w:w="464" w:type="pct"/>
            <w:gridSpan w:val="6"/>
            <w:tcBorders>
              <w:top w:val="nil"/>
              <w:left w:val="nil"/>
              <w:bottom w:val="single" w:sz="4" w:space="0" w:color="auto"/>
              <w:right w:val="single" w:sz="4" w:space="0" w:color="auto"/>
            </w:tcBorders>
            <w:shd w:val="clear" w:color="auto" w:fill="auto"/>
            <w:vAlign w:val="center"/>
          </w:tcPr>
          <w:p w14:paraId="0095A0B5"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0742FE3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618</w:t>
            </w:r>
          </w:p>
        </w:tc>
        <w:tc>
          <w:tcPr>
            <w:tcW w:w="199" w:type="pct"/>
            <w:gridSpan w:val="2"/>
            <w:tcBorders>
              <w:top w:val="nil"/>
              <w:left w:val="nil"/>
              <w:bottom w:val="single" w:sz="4" w:space="0" w:color="auto"/>
            </w:tcBorders>
            <w:shd w:val="clear" w:color="auto" w:fill="auto"/>
            <w:vAlign w:val="center"/>
          </w:tcPr>
          <w:p w14:paraId="30207D19" w14:textId="77777777" w:rsidR="00B326C9" w:rsidRPr="002E17C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20</w:t>
            </w:r>
          </w:p>
        </w:tc>
      </w:tr>
      <w:tr w:rsidR="00B326C9" w:rsidRPr="00D87781" w14:paraId="33A6C7F6"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tcPr>
          <w:p w14:paraId="6CAE5DB5"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18</w:t>
            </w:r>
          </w:p>
        </w:tc>
        <w:tc>
          <w:tcPr>
            <w:tcW w:w="362" w:type="pct"/>
            <w:tcBorders>
              <w:top w:val="nil"/>
              <w:left w:val="nil"/>
              <w:bottom w:val="single" w:sz="4" w:space="0" w:color="auto"/>
              <w:right w:val="single" w:sz="4" w:space="0" w:color="auto"/>
            </w:tcBorders>
            <w:shd w:val="clear" w:color="auto" w:fill="auto"/>
            <w:vAlign w:val="center"/>
          </w:tcPr>
          <w:p w14:paraId="784DC85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val="en-US" w:eastAsia="en-GB"/>
              </w:rPr>
            </w:pPr>
            <w:r w:rsidRPr="00D87781">
              <w:rPr>
                <w:rFonts w:eastAsia="Times New Roman" w:cs="Times New Roman"/>
                <w:color w:val="auto"/>
                <w:sz w:val="16"/>
                <w:szCs w:val="16"/>
                <w:bdr w:val="none" w:sz="0" w:space="0" w:color="auto"/>
                <w:lang w:val="en-US" w:eastAsia="en-GB"/>
              </w:rPr>
              <w:t>2018-IT-TM-0059</w:t>
            </w:r>
            <w:r w:rsidR="00B65419">
              <w:rPr>
                <w:rFonts w:eastAsia="Times New Roman" w:cs="Times New Roman"/>
                <w:color w:val="auto"/>
                <w:sz w:val="16"/>
                <w:szCs w:val="16"/>
                <w:bdr w:val="none" w:sz="0" w:space="0" w:color="auto"/>
                <w:lang w:val="en-US" w:eastAsia="en-GB"/>
              </w:rPr>
              <w:t xml:space="preserve">   </w:t>
            </w:r>
            <w:r w:rsidRPr="00D87781">
              <w:rPr>
                <w:rFonts w:eastAsia="Times New Roman" w:cs="Times New Roman"/>
                <w:color w:val="auto"/>
                <w:sz w:val="16"/>
                <w:szCs w:val="16"/>
                <w:bdr w:val="none" w:sz="0" w:space="0" w:color="auto"/>
                <w:lang w:val="en-US" w:eastAsia="en-GB"/>
              </w:rPr>
              <w:t>-W</w:t>
            </w:r>
          </w:p>
        </w:tc>
        <w:tc>
          <w:tcPr>
            <w:tcW w:w="548" w:type="pct"/>
            <w:gridSpan w:val="2"/>
            <w:tcBorders>
              <w:top w:val="nil"/>
              <w:left w:val="nil"/>
              <w:bottom w:val="single" w:sz="4" w:space="0" w:color="auto"/>
              <w:right w:val="single" w:sz="4" w:space="0" w:color="auto"/>
            </w:tcBorders>
            <w:shd w:val="clear" w:color="auto" w:fill="auto"/>
            <w:vAlign w:val="center"/>
          </w:tcPr>
          <w:p w14:paraId="5B0C68EE" w14:textId="77777777" w:rsidR="00B326C9" w:rsidRPr="00D8778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 xml:space="preserve">ERTMS </w:t>
            </w:r>
            <w:r w:rsidR="00D477D8">
              <w:rPr>
                <w:rFonts w:eastAsia="Times New Roman" w:cs="Times New Roman"/>
                <w:color w:val="auto"/>
                <w:sz w:val="16"/>
                <w:szCs w:val="16"/>
                <w:bdr w:val="none" w:sz="0" w:space="0" w:color="auto"/>
                <w:lang w:eastAsia="en-GB"/>
              </w:rPr>
              <w:t>–</w:t>
            </w:r>
            <w:r w:rsidRPr="002E17CB">
              <w:rPr>
                <w:rFonts w:eastAsia="Times New Roman" w:cs="Times New Roman"/>
                <w:color w:val="auto"/>
                <w:sz w:val="16"/>
                <w:szCs w:val="16"/>
                <w:bdr w:val="none" w:sz="0" w:space="0" w:color="auto"/>
                <w:lang w:eastAsia="en-GB"/>
              </w:rPr>
              <w:t xml:space="preserve"> Implementa</w:t>
            </w:r>
            <w:r w:rsidR="00D477D8">
              <w:rPr>
                <w:rFonts w:eastAsia="Times New Roman" w:cs="Times New Roman"/>
                <w:color w:val="auto"/>
                <w:sz w:val="16"/>
                <w:szCs w:val="16"/>
                <w:bdr w:val="none" w:sz="0" w:space="0" w:color="auto"/>
                <w:lang w:eastAsia="en-GB"/>
              </w:rPr>
              <w:t>-</w:t>
            </w:r>
            <w:r w:rsidRPr="002E17CB">
              <w:rPr>
                <w:rFonts w:eastAsia="Times New Roman" w:cs="Times New Roman"/>
                <w:color w:val="auto"/>
                <w:sz w:val="16"/>
                <w:szCs w:val="16"/>
                <w:bdr w:val="none" w:sz="0" w:space="0" w:color="auto"/>
                <w:lang w:eastAsia="en-GB"/>
              </w:rPr>
              <w:t>zione del sistema lungo la sezione Verona-</w:t>
            </w:r>
            <w:r w:rsidRPr="002E17CB">
              <w:rPr>
                <w:rFonts w:eastAsia="Times New Roman" w:cs="Times New Roman"/>
                <w:color w:val="auto"/>
                <w:sz w:val="16"/>
                <w:szCs w:val="16"/>
                <w:bdr w:val="none" w:sz="0" w:space="0" w:color="auto"/>
                <w:lang w:eastAsia="en-GB"/>
              </w:rPr>
              <w:lastRenderedPageBreak/>
              <w:t xml:space="preserve">Bologna del corridoio </w:t>
            </w:r>
            <w:proofErr w:type="spellStart"/>
            <w:r w:rsidRPr="002E17CB">
              <w:rPr>
                <w:rFonts w:eastAsia="Times New Roman" w:cs="Times New Roman"/>
                <w:color w:val="auto"/>
                <w:sz w:val="16"/>
                <w:szCs w:val="16"/>
                <w:bdr w:val="none" w:sz="0" w:space="0" w:color="auto"/>
                <w:lang w:eastAsia="en-GB"/>
              </w:rPr>
              <w:t>Scan-Med</w:t>
            </w:r>
            <w:proofErr w:type="spellEnd"/>
          </w:p>
        </w:tc>
        <w:tc>
          <w:tcPr>
            <w:tcW w:w="268" w:type="pct"/>
            <w:gridSpan w:val="3"/>
            <w:tcBorders>
              <w:top w:val="nil"/>
              <w:left w:val="nil"/>
              <w:bottom w:val="single" w:sz="4" w:space="0" w:color="auto"/>
              <w:right w:val="single" w:sz="4" w:space="0" w:color="auto"/>
            </w:tcBorders>
            <w:shd w:val="clear" w:color="auto" w:fill="auto"/>
            <w:noWrap/>
            <w:textDirection w:val="btLr"/>
            <w:vAlign w:val="center"/>
          </w:tcPr>
          <w:p w14:paraId="062267E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lastRenderedPageBreak/>
              <w:t>31/12/23</w:t>
            </w:r>
          </w:p>
        </w:tc>
        <w:tc>
          <w:tcPr>
            <w:tcW w:w="445" w:type="pct"/>
            <w:gridSpan w:val="3"/>
            <w:tcBorders>
              <w:top w:val="nil"/>
              <w:left w:val="nil"/>
              <w:bottom w:val="single" w:sz="4" w:space="0" w:color="auto"/>
              <w:right w:val="single" w:sz="4" w:space="0" w:color="auto"/>
            </w:tcBorders>
            <w:shd w:val="clear" w:color="auto" w:fill="auto"/>
            <w:noWrap/>
            <w:vAlign w:val="center"/>
          </w:tcPr>
          <w:p w14:paraId="70F7C80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18.938</w:t>
            </w:r>
          </w:p>
        </w:tc>
        <w:tc>
          <w:tcPr>
            <w:tcW w:w="420" w:type="pct"/>
            <w:gridSpan w:val="2"/>
            <w:tcBorders>
              <w:top w:val="nil"/>
              <w:left w:val="nil"/>
              <w:bottom w:val="single" w:sz="4" w:space="0" w:color="auto"/>
              <w:right w:val="single" w:sz="4" w:space="0" w:color="auto"/>
            </w:tcBorders>
            <w:shd w:val="clear" w:color="auto" w:fill="auto"/>
            <w:noWrap/>
            <w:vAlign w:val="center"/>
          </w:tcPr>
          <w:p w14:paraId="6CC2861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9.469</w:t>
            </w:r>
          </w:p>
        </w:tc>
        <w:tc>
          <w:tcPr>
            <w:tcW w:w="452" w:type="pct"/>
            <w:gridSpan w:val="3"/>
            <w:tcBorders>
              <w:top w:val="nil"/>
              <w:left w:val="nil"/>
              <w:bottom w:val="single" w:sz="4" w:space="0" w:color="auto"/>
              <w:right w:val="single" w:sz="4" w:space="0" w:color="auto"/>
            </w:tcBorders>
            <w:shd w:val="clear" w:color="auto" w:fill="auto"/>
            <w:noWrap/>
            <w:vAlign w:val="center"/>
          </w:tcPr>
          <w:p w14:paraId="7D9F2BC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18.938</w:t>
            </w:r>
          </w:p>
        </w:tc>
        <w:tc>
          <w:tcPr>
            <w:tcW w:w="456" w:type="pct"/>
            <w:gridSpan w:val="5"/>
            <w:tcBorders>
              <w:top w:val="nil"/>
              <w:left w:val="nil"/>
              <w:bottom w:val="single" w:sz="4" w:space="0" w:color="auto"/>
              <w:right w:val="single" w:sz="4" w:space="0" w:color="auto"/>
            </w:tcBorders>
            <w:shd w:val="clear" w:color="auto" w:fill="auto"/>
            <w:noWrap/>
            <w:vAlign w:val="center"/>
          </w:tcPr>
          <w:p w14:paraId="5E600C4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9.469</w:t>
            </w:r>
          </w:p>
        </w:tc>
        <w:tc>
          <w:tcPr>
            <w:tcW w:w="451" w:type="pct"/>
            <w:gridSpan w:val="3"/>
            <w:tcBorders>
              <w:top w:val="nil"/>
              <w:left w:val="nil"/>
              <w:bottom w:val="single" w:sz="4" w:space="0" w:color="auto"/>
              <w:right w:val="single" w:sz="4" w:space="0" w:color="auto"/>
            </w:tcBorders>
            <w:shd w:val="clear" w:color="auto" w:fill="auto"/>
            <w:noWrap/>
            <w:vAlign w:val="center"/>
          </w:tcPr>
          <w:p w14:paraId="25C49BB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21</w:t>
            </w:r>
          </w:p>
        </w:tc>
        <w:tc>
          <w:tcPr>
            <w:tcW w:w="298" w:type="pct"/>
            <w:gridSpan w:val="4"/>
            <w:tcBorders>
              <w:top w:val="nil"/>
              <w:left w:val="nil"/>
              <w:bottom w:val="single" w:sz="4" w:space="0" w:color="auto"/>
              <w:right w:val="single" w:sz="4" w:space="0" w:color="auto"/>
            </w:tcBorders>
            <w:shd w:val="clear" w:color="auto" w:fill="auto"/>
            <w:noWrap/>
            <w:vAlign w:val="center"/>
          </w:tcPr>
          <w:p w14:paraId="0295DE93" w14:textId="77777777" w:rsidR="00B326C9" w:rsidRPr="00D8778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12"/>
              <w:jc w:val="center"/>
              <w:rPr>
                <w:sz w:val="16"/>
                <w:szCs w:val="16"/>
              </w:rPr>
            </w:pPr>
            <w:r>
              <w:rPr>
                <w:sz w:val="16"/>
                <w:szCs w:val="16"/>
              </w:rPr>
              <w:t>0,2</w:t>
            </w:r>
          </w:p>
        </w:tc>
        <w:tc>
          <w:tcPr>
            <w:tcW w:w="464" w:type="pct"/>
            <w:gridSpan w:val="6"/>
            <w:tcBorders>
              <w:top w:val="nil"/>
              <w:left w:val="nil"/>
              <w:bottom w:val="single" w:sz="4" w:space="0" w:color="auto"/>
              <w:right w:val="single" w:sz="4" w:space="0" w:color="auto"/>
            </w:tcBorders>
            <w:shd w:val="clear" w:color="auto" w:fill="auto"/>
            <w:vAlign w:val="center"/>
          </w:tcPr>
          <w:p w14:paraId="4A8857E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6BA078E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199" w:type="pct"/>
            <w:gridSpan w:val="2"/>
            <w:tcBorders>
              <w:top w:val="nil"/>
              <w:left w:val="nil"/>
              <w:bottom w:val="single" w:sz="4" w:space="0" w:color="auto"/>
            </w:tcBorders>
            <w:shd w:val="clear" w:color="auto" w:fill="auto"/>
            <w:vAlign w:val="center"/>
          </w:tcPr>
          <w:p w14:paraId="064C2EA9" w14:textId="77777777" w:rsidR="00B326C9" w:rsidRPr="002E17C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w:t>
            </w:r>
          </w:p>
        </w:tc>
      </w:tr>
      <w:tr w:rsidR="00B326C9" w:rsidRPr="00D87781" w14:paraId="77B23E3C"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tcPr>
          <w:p w14:paraId="2051F58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19</w:t>
            </w:r>
          </w:p>
        </w:tc>
        <w:tc>
          <w:tcPr>
            <w:tcW w:w="362" w:type="pct"/>
            <w:tcBorders>
              <w:top w:val="nil"/>
              <w:left w:val="nil"/>
              <w:bottom w:val="single" w:sz="4" w:space="0" w:color="auto"/>
              <w:right w:val="single" w:sz="4" w:space="0" w:color="auto"/>
            </w:tcBorders>
            <w:shd w:val="clear" w:color="auto" w:fill="auto"/>
            <w:vAlign w:val="center"/>
          </w:tcPr>
          <w:p w14:paraId="0345B2C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val="en-US" w:eastAsia="en-GB"/>
              </w:rPr>
            </w:pPr>
            <w:r w:rsidRPr="00D87781">
              <w:rPr>
                <w:rFonts w:eastAsia="Times New Roman" w:cs="Times New Roman"/>
                <w:color w:val="auto"/>
                <w:sz w:val="16"/>
                <w:szCs w:val="16"/>
                <w:bdr w:val="none" w:sz="0" w:space="0" w:color="auto"/>
                <w:lang w:val="en-US" w:eastAsia="en-GB"/>
              </w:rPr>
              <w:t>2019-EU-TA-0037</w:t>
            </w:r>
            <w:r w:rsidR="00B65419">
              <w:rPr>
                <w:rFonts w:eastAsia="Times New Roman" w:cs="Times New Roman"/>
                <w:color w:val="auto"/>
                <w:sz w:val="16"/>
                <w:szCs w:val="16"/>
                <w:bdr w:val="none" w:sz="0" w:space="0" w:color="auto"/>
                <w:lang w:val="en-US" w:eastAsia="en-GB"/>
              </w:rPr>
              <w:t xml:space="preserve">   </w:t>
            </w:r>
            <w:r w:rsidRPr="00D87781">
              <w:rPr>
                <w:rFonts w:eastAsia="Times New Roman" w:cs="Times New Roman"/>
                <w:color w:val="auto"/>
                <w:sz w:val="16"/>
                <w:szCs w:val="16"/>
                <w:bdr w:val="none" w:sz="0" w:space="0" w:color="auto"/>
                <w:lang w:val="en-US" w:eastAsia="en-GB"/>
              </w:rPr>
              <w:t>-W</w:t>
            </w:r>
          </w:p>
        </w:tc>
        <w:tc>
          <w:tcPr>
            <w:tcW w:w="548" w:type="pct"/>
            <w:gridSpan w:val="2"/>
            <w:tcBorders>
              <w:top w:val="nil"/>
              <w:left w:val="nil"/>
              <w:bottom w:val="single" w:sz="4" w:space="0" w:color="auto"/>
              <w:right w:val="single" w:sz="4" w:space="0" w:color="auto"/>
            </w:tcBorders>
            <w:shd w:val="clear" w:color="auto" w:fill="auto"/>
            <w:vAlign w:val="center"/>
          </w:tcPr>
          <w:p w14:paraId="23E881F8" w14:textId="77777777" w:rsidR="00B326C9" w:rsidRPr="00D8778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ENTREPID - Partnership europea per la riduzione del rumore ferroviar</w:t>
            </w:r>
            <w:r w:rsidR="00D477D8">
              <w:rPr>
                <w:rFonts w:eastAsia="Times New Roman" w:cs="Times New Roman"/>
                <w:color w:val="auto"/>
                <w:sz w:val="16"/>
                <w:szCs w:val="16"/>
                <w:bdr w:val="none" w:sz="0" w:space="0" w:color="auto"/>
                <w:lang w:eastAsia="en-GB"/>
              </w:rPr>
              <w:t>i</w:t>
            </w:r>
            <w:r w:rsidRPr="002E17CB">
              <w:rPr>
                <w:rFonts w:eastAsia="Times New Roman" w:cs="Times New Roman"/>
                <w:color w:val="auto"/>
                <w:sz w:val="16"/>
                <w:szCs w:val="16"/>
                <w:bdr w:val="none" w:sz="0" w:space="0" w:color="auto"/>
                <w:lang w:eastAsia="en-GB"/>
              </w:rPr>
              <w:t>o</w:t>
            </w:r>
          </w:p>
        </w:tc>
        <w:tc>
          <w:tcPr>
            <w:tcW w:w="268" w:type="pct"/>
            <w:gridSpan w:val="3"/>
            <w:tcBorders>
              <w:top w:val="nil"/>
              <w:left w:val="nil"/>
              <w:bottom w:val="single" w:sz="4" w:space="0" w:color="auto"/>
              <w:right w:val="single" w:sz="4" w:space="0" w:color="auto"/>
            </w:tcBorders>
            <w:shd w:val="clear" w:color="auto" w:fill="auto"/>
            <w:noWrap/>
            <w:textDirection w:val="btLr"/>
            <w:vAlign w:val="center"/>
          </w:tcPr>
          <w:p w14:paraId="29CEBC5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31/12/23</w:t>
            </w:r>
          </w:p>
        </w:tc>
        <w:tc>
          <w:tcPr>
            <w:tcW w:w="445" w:type="pct"/>
            <w:gridSpan w:val="3"/>
            <w:tcBorders>
              <w:top w:val="nil"/>
              <w:left w:val="nil"/>
              <w:bottom w:val="single" w:sz="4" w:space="0" w:color="auto"/>
              <w:right w:val="single" w:sz="4" w:space="0" w:color="auto"/>
            </w:tcBorders>
            <w:shd w:val="clear" w:color="auto" w:fill="auto"/>
            <w:noWrap/>
            <w:vAlign w:val="center"/>
          </w:tcPr>
          <w:p w14:paraId="7B1D589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20" w:type="pct"/>
            <w:gridSpan w:val="2"/>
            <w:tcBorders>
              <w:top w:val="nil"/>
              <w:left w:val="nil"/>
              <w:bottom w:val="single" w:sz="4" w:space="0" w:color="auto"/>
              <w:right w:val="single" w:sz="4" w:space="0" w:color="auto"/>
            </w:tcBorders>
            <w:shd w:val="clear" w:color="auto" w:fill="auto"/>
            <w:noWrap/>
            <w:vAlign w:val="center"/>
          </w:tcPr>
          <w:p w14:paraId="2FDD392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384</w:t>
            </w:r>
          </w:p>
        </w:tc>
        <w:tc>
          <w:tcPr>
            <w:tcW w:w="452" w:type="pct"/>
            <w:gridSpan w:val="3"/>
            <w:tcBorders>
              <w:top w:val="nil"/>
              <w:left w:val="nil"/>
              <w:bottom w:val="single" w:sz="4" w:space="0" w:color="auto"/>
              <w:right w:val="single" w:sz="4" w:space="0" w:color="auto"/>
            </w:tcBorders>
            <w:shd w:val="clear" w:color="auto" w:fill="auto"/>
            <w:noWrap/>
            <w:vAlign w:val="center"/>
          </w:tcPr>
          <w:p w14:paraId="54E771C0"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56" w:type="pct"/>
            <w:gridSpan w:val="5"/>
            <w:tcBorders>
              <w:top w:val="nil"/>
              <w:left w:val="nil"/>
              <w:bottom w:val="single" w:sz="4" w:space="0" w:color="auto"/>
              <w:right w:val="single" w:sz="4" w:space="0" w:color="auto"/>
            </w:tcBorders>
            <w:shd w:val="clear" w:color="auto" w:fill="auto"/>
            <w:noWrap/>
            <w:vAlign w:val="center"/>
          </w:tcPr>
          <w:p w14:paraId="4E03BCF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2.083</w:t>
            </w:r>
          </w:p>
        </w:tc>
        <w:tc>
          <w:tcPr>
            <w:tcW w:w="451" w:type="pct"/>
            <w:gridSpan w:val="3"/>
            <w:tcBorders>
              <w:top w:val="nil"/>
              <w:left w:val="nil"/>
              <w:bottom w:val="single" w:sz="4" w:space="0" w:color="auto"/>
              <w:right w:val="single" w:sz="4" w:space="0" w:color="auto"/>
            </w:tcBorders>
            <w:shd w:val="clear" w:color="auto" w:fill="auto"/>
            <w:noWrap/>
            <w:vAlign w:val="center"/>
          </w:tcPr>
          <w:p w14:paraId="00767236"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154</w:t>
            </w:r>
          </w:p>
        </w:tc>
        <w:tc>
          <w:tcPr>
            <w:tcW w:w="298" w:type="pct"/>
            <w:gridSpan w:val="4"/>
            <w:tcBorders>
              <w:top w:val="nil"/>
              <w:left w:val="nil"/>
              <w:bottom w:val="single" w:sz="4" w:space="0" w:color="auto"/>
              <w:right w:val="single" w:sz="4" w:space="0" w:color="auto"/>
            </w:tcBorders>
            <w:shd w:val="clear" w:color="auto" w:fill="auto"/>
            <w:noWrap/>
            <w:vAlign w:val="center"/>
          </w:tcPr>
          <w:p w14:paraId="5B08207C" w14:textId="77777777" w:rsidR="00B326C9" w:rsidRPr="00D8778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12"/>
              <w:jc w:val="center"/>
              <w:rPr>
                <w:sz w:val="16"/>
                <w:szCs w:val="16"/>
              </w:rPr>
            </w:pPr>
            <w:r>
              <w:rPr>
                <w:sz w:val="16"/>
                <w:szCs w:val="16"/>
              </w:rPr>
              <w:t>40</w:t>
            </w:r>
          </w:p>
        </w:tc>
        <w:tc>
          <w:tcPr>
            <w:tcW w:w="464" w:type="pct"/>
            <w:gridSpan w:val="6"/>
            <w:tcBorders>
              <w:top w:val="nil"/>
              <w:left w:val="nil"/>
              <w:bottom w:val="single" w:sz="4" w:space="0" w:color="auto"/>
              <w:right w:val="single" w:sz="4" w:space="0" w:color="auto"/>
            </w:tcBorders>
            <w:shd w:val="clear" w:color="auto" w:fill="auto"/>
            <w:vAlign w:val="center"/>
          </w:tcPr>
          <w:p w14:paraId="61D32EF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7DBD403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98</w:t>
            </w:r>
          </w:p>
        </w:tc>
        <w:tc>
          <w:tcPr>
            <w:tcW w:w="199" w:type="pct"/>
            <w:gridSpan w:val="2"/>
            <w:tcBorders>
              <w:top w:val="nil"/>
              <w:left w:val="nil"/>
              <w:bottom w:val="single" w:sz="4" w:space="0" w:color="auto"/>
            </w:tcBorders>
            <w:shd w:val="clear" w:color="auto" w:fill="auto"/>
            <w:vAlign w:val="center"/>
          </w:tcPr>
          <w:p w14:paraId="6056A985" w14:textId="77777777" w:rsidR="00B326C9" w:rsidRPr="002E17C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11</w:t>
            </w:r>
          </w:p>
        </w:tc>
      </w:tr>
      <w:tr w:rsidR="00B326C9" w:rsidRPr="00D87781" w14:paraId="6ABAD690"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tcPr>
          <w:p w14:paraId="0C0A8BB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US" w:eastAsia="en-GB"/>
              </w:rPr>
            </w:pPr>
            <w:r>
              <w:rPr>
                <w:rFonts w:eastAsia="Times New Roman" w:cs="Times New Roman"/>
                <w:color w:val="auto"/>
                <w:sz w:val="16"/>
                <w:szCs w:val="16"/>
                <w:bdr w:val="none" w:sz="0" w:space="0" w:color="auto"/>
                <w:lang w:val="en-US" w:eastAsia="en-GB"/>
              </w:rPr>
              <w:t>20</w:t>
            </w:r>
          </w:p>
        </w:tc>
        <w:tc>
          <w:tcPr>
            <w:tcW w:w="362" w:type="pct"/>
            <w:tcBorders>
              <w:top w:val="nil"/>
              <w:left w:val="nil"/>
              <w:bottom w:val="single" w:sz="4" w:space="0" w:color="auto"/>
              <w:right w:val="single" w:sz="4" w:space="0" w:color="auto"/>
            </w:tcBorders>
            <w:shd w:val="clear" w:color="auto" w:fill="auto"/>
            <w:vAlign w:val="center"/>
          </w:tcPr>
          <w:p w14:paraId="0B9ED88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6" w:right="-111"/>
              <w:jc w:val="center"/>
              <w:rPr>
                <w:rFonts w:eastAsia="Times New Roman" w:cs="Times New Roman"/>
                <w:color w:val="auto"/>
                <w:sz w:val="16"/>
                <w:szCs w:val="16"/>
                <w:bdr w:val="none" w:sz="0" w:space="0" w:color="auto"/>
                <w:lang w:val="en-US" w:eastAsia="en-GB"/>
              </w:rPr>
            </w:pPr>
            <w:r w:rsidRPr="00D87781">
              <w:rPr>
                <w:rFonts w:eastAsia="Times New Roman" w:cs="Times New Roman"/>
                <w:color w:val="auto"/>
                <w:sz w:val="16"/>
                <w:szCs w:val="16"/>
                <w:bdr w:val="none" w:sz="0" w:space="0" w:color="auto"/>
                <w:lang w:val="en-US" w:eastAsia="en-GB"/>
              </w:rPr>
              <w:t>2019-IT-TA-0033</w:t>
            </w:r>
            <w:r w:rsidR="00B65419">
              <w:rPr>
                <w:rFonts w:eastAsia="Times New Roman" w:cs="Times New Roman"/>
                <w:color w:val="auto"/>
                <w:sz w:val="16"/>
                <w:szCs w:val="16"/>
                <w:bdr w:val="none" w:sz="0" w:space="0" w:color="auto"/>
                <w:lang w:val="en-US" w:eastAsia="en-GB"/>
              </w:rPr>
              <w:t xml:space="preserve">   </w:t>
            </w:r>
            <w:r w:rsidRPr="00D87781">
              <w:rPr>
                <w:rFonts w:eastAsia="Times New Roman" w:cs="Times New Roman"/>
                <w:color w:val="auto"/>
                <w:sz w:val="16"/>
                <w:szCs w:val="16"/>
                <w:bdr w:val="none" w:sz="0" w:space="0" w:color="auto"/>
                <w:lang w:val="en-US" w:eastAsia="en-GB"/>
              </w:rPr>
              <w:t>-W</w:t>
            </w:r>
          </w:p>
        </w:tc>
        <w:tc>
          <w:tcPr>
            <w:tcW w:w="548" w:type="pct"/>
            <w:gridSpan w:val="2"/>
            <w:tcBorders>
              <w:top w:val="nil"/>
              <w:left w:val="nil"/>
              <w:bottom w:val="single" w:sz="4" w:space="0" w:color="auto"/>
              <w:right w:val="single" w:sz="4" w:space="0" w:color="auto"/>
            </w:tcBorders>
            <w:shd w:val="clear" w:color="auto" w:fill="auto"/>
            <w:vAlign w:val="center"/>
          </w:tcPr>
          <w:p w14:paraId="67E48B5A" w14:textId="77777777" w:rsidR="00B326C9" w:rsidRPr="00D8778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 xml:space="preserve">Riduzione delle emissioni sonore della flotta Polo </w:t>
            </w:r>
            <w:proofErr w:type="spellStart"/>
            <w:r w:rsidRPr="002E17CB">
              <w:rPr>
                <w:rFonts w:eastAsia="Times New Roman" w:cs="Times New Roman"/>
                <w:color w:val="auto"/>
                <w:sz w:val="16"/>
                <w:szCs w:val="16"/>
                <w:bdr w:val="none" w:sz="0" w:space="0" w:color="auto"/>
                <w:lang w:eastAsia="en-GB"/>
              </w:rPr>
              <w:t>Mercitalia</w:t>
            </w:r>
            <w:proofErr w:type="spellEnd"/>
          </w:p>
        </w:tc>
        <w:tc>
          <w:tcPr>
            <w:tcW w:w="268" w:type="pct"/>
            <w:gridSpan w:val="3"/>
            <w:tcBorders>
              <w:top w:val="nil"/>
              <w:left w:val="nil"/>
              <w:bottom w:val="single" w:sz="4" w:space="0" w:color="auto"/>
              <w:right w:val="single" w:sz="4" w:space="0" w:color="auto"/>
            </w:tcBorders>
            <w:shd w:val="clear" w:color="auto" w:fill="auto"/>
            <w:noWrap/>
            <w:textDirection w:val="btLr"/>
            <w:vAlign w:val="center"/>
          </w:tcPr>
          <w:p w14:paraId="45C2E84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30/11/23</w:t>
            </w:r>
          </w:p>
        </w:tc>
        <w:tc>
          <w:tcPr>
            <w:tcW w:w="445" w:type="pct"/>
            <w:gridSpan w:val="3"/>
            <w:tcBorders>
              <w:top w:val="nil"/>
              <w:left w:val="nil"/>
              <w:bottom w:val="single" w:sz="4" w:space="0" w:color="auto"/>
              <w:right w:val="single" w:sz="4" w:space="0" w:color="auto"/>
            </w:tcBorders>
            <w:shd w:val="clear" w:color="auto" w:fill="auto"/>
            <w:noWrap/>
            <w:vAlign w:val="center"/>
          </w:tcPr>
          <w:p w14:paraId="61555A1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20" w:type="pct"/>
            <w:gridSpan w:val="2"/>
            <w:tcBorders>
              <w:top w:val="nil"/>
              <w:left w:val="nil"/>
              <w:bottom w:val="single" w:sz="4" w:space="0" w:color="auto"/>
              <w:right w:val="single" w:sz="4" w:space="0" w:color="auto"/>
            </w:tcBorders>
            <w:shd w:val="clear" w:color="auto" w:fill="auto"/>
            <w:noWrap/>
            <w:vAlign w:val="center"/>
          </w:tcPr>
          <w:p w14:paraId="226EC31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1.906</w:t>
            </w:r>
          </w:p>
        </w:tc>
        <w:tc>
          <w:tcPr>
            <w:tcW w:w="452" w:type="pct"/>
            <w:gridSpan w:val="3"/>
            <w:tcBorders>
              <w:top w:val="nil"/>
              <w:left w:val="nil"/>
              <w:bottom w:val="single" w:sz="4" w:space="0" w:color="auto"/>
              <w:right w:val="single" w:sz="4" w:space="0" w:color="auto"/>
            </w:tcBorders>
            <w:shd w:val="clear" w:color="auto" w:fill="auto"/>
            <w:noWrap/>
            <w:vAlign w:val="center"/>
          </w:tcPr>
          <w:p w14:paraId="0E3FC1F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56" w:type="pct"/>
            <w:gridSpan w:val="5"/>
            <w:tcBorders>
              <w:top w:val="nil"/>
              <w:left w:val="nil"/>
              <w:bottom w:val="single" w:sz="4" w:space="0" w:color="auto"/>
              <w:right w:val="single" w:sz="4" w:space="0" w:color="auto"/>
            </w:tcBorders>
            <w:shd w:val="clear" w:color="auto" w:fill="auto"/>
            <w:noWrap/>
            <w:vAlign w:val="center"/>
          </w:tcPr>
          <w:p w14:paraId="3F0114C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1.906</w:t>
            </w:r>
          </w:p>
        </w:tc>
        <w:tc>
          <w:tcPr>
            <w:tcW w:w="451" w:type="pct"/>
            <w:gridSpan w:val="3"/>
            <w:tcBorders>
              <w:top w:val="nil"/>
              <w:left w:val="nil"/>
              <w:bottom w:val="single" w:sz="4" w:space="0" w:color="auto"/>
              <w:right w:val="single" w:sz="4" w:space="0" w:color="auto"/>
            </w:tcBorders>
            <w:shd w:val="clear" w:color="auto" w:fill="auto"/>
            <w:noWrap/>
            <w:vAlign w:val="center"/>
          </w:tcPr>
          <w:p w14:paraId="2787977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762</w:t>
            </w:r>
          </w:p>
        </w:tc>
        <w:tc>
          <w:tcPr>
            <w:tcW w:w="298" w:type="pct"/>
            <w:gridSpan w:val="4"/>
            <w:tcBorders>
              <w:top w:val="nil"/>
              <w:left w:val="nil"/>
              <w:bottom w:val="single" w:sz="4" w:space="0" w:color="auto"/>
              <w:right w:val="single" w:sz="4" w:space="0" w:color="auto"/>
            </w:tcBorders>
            <w:shd w:val="clear" w:color="auto" w:fill="auto"/>
            <w:noWrap/>
            <w:vAlign w:val="center"/>
          </w:tcPr>
          <w:p w14:paraId="17C9D93E" w14:textId="77777777" w:rsidR="00B326C9" w:rsidRPr="00D8778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12"/>
              <w:jc w:val="center"/>
              <w:rPr>
                <w:sz w:val="16"/>
                <w:szCs w:val="16"/>
              </w:rPr>
            </w:pPr>
            <w:r>
              <w:rPr>
                <w:sz w:val="16"/>
                <w:szCs w:val="16"/>
              </w:rPr>
              <w:t>40</w:t>
            </w:r>
          </w:p>
        </w:tc>
        <w:tc>
          <w:tcPr>
            <w:tcW w:w="464" w:type="pct"/>
            <w:gridSpan w:val="6"/>
            <w:tcBorders>
              <w:top w:val="nil"/>
              <w:left w:val="nil"/>
              <w:bottom w:val="single" w:sz="4" w:space="0" w:color="auto"/>
              <w:right w:val="single" w:sz="4" w:space="0" w:color="auto"/>
            </w:tcBorders>
            <w:shd w:val="clear" w:color="auto" w:fill="auto"/>
            <w:vAlign w:val="center"/>
          </w:tcPr>
          <w:p w14:paraId="359FD76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5018110A"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107</w:t>
            </w:r>
          </w:p>
        </w:tc>
        <w:tc>
          <w:tcPr>
            <w:tcW w:w="199" w:type="pct"/>
            <w:gridSpan w:val="2"/>
            <w:tcBorders>
              <w:top w:val="nil"/>
              <w:left w:val="nil"/>
              <w:bottom w:val="single" w:sz="4" w:space="0" w:color="auto"/>
            </w:tcBorders>
            <w:shd w:val="clear" w:color="auto" w:fill="auto"/>
            <w:vAlign w:val="center"/>
          </w:tcPr>
          <w:p w14:paraId="46529F6C" w14:textId="77777777" w:rsidR="00B326C9" w:rsidRPr="002E17C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7" w:right="-103"/>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w:t>
            </w:r>
          </w:p>
        </w:tc>
      </w:tr>
      <w:tr w:rsidR="00B326C9" w:rsidRPr="00A03963" w14:paraId="63E0DAE2" w14:textId="77777777" w:rsidTr="00C56F61">
        <w:trPr>
          <w:trHeight w:val="414"/>
        </w:trPr>
        <w:tc>
          <w:tcPr>
            <w:tcW w:w="1408" w:type="pct"/>
            <w:gridSpan w:val="7"/>
            <w:tcBorders>
              <w:top w:val="single" w:sz="4" w:space="0" w:color="auto"/>
              <w:left w:val="nil"/>
              <w:bottom w:val="single" w:sz="4" w:space="0" w:color="auto"/>
              <w:right w:val="single" w:sz="4" w:space="0" w:color="auto"/>
            </w:tcBorders>
            <w:shd w:val="clear" w:color="auto" w:fill="auto"/>
            <w:noWrap/>
            <w:vAlign w:val="center"/>
            <w:hideMark/>
          </w:tcPr>
          <w:p w14:paraId="1CC63479"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b/>
                <w:bCs/>
                <w:color w:val="auto"/>
                <w:sz w:val="16"/>
                <w:szCs w:val="16"/>
                <w:bdr w:val="none" w:sz="0" w:space="0" w:color="auto"/>
                <w:lang w:eastAsia="en-GB"/>
              </w:rPr>
            </w:pPr>
            <w:r w:rsidRPr="00A03963">
              <w:rPr>
                <w:rFonts w:eastAsia="Times New Roman" w:cs="Times New Roman"/>
                <w:b/>
                <w:bCs/>
                <w:color w:val="auto"/>
                <w:sz w:val="16"/>
                <w:szCs w:val="16"/>
                <w:bdr w:val="none" w:sz="0" w:space="0" w:color="auto"/>
                <w:lang w:eastAsia="en-GB"/>
              </w:rPr>
              <w:t xml:space="preserve">Sub-totale </w:t>
            </w:r>
            <w:proofErr w:type="gramStart"/>
            <w:r w:rsidRPr="00A03963">
              <w:rPr>
                <w:rFonts w:eastAsia="Times New Roman" w:cs="Times New Roman"/>
                <w:b/>
                <w:bCs/>
                <w:color w:val="auto"/>
                <w:sz w:val="16"/>
                <w:szCs w:val="16"/>
                <w:bdr w:val="none" w:sz="0" w:space="0" w:color="auto"/>
                <w:lang w:eastAsia="en-GB"/>
              </w:rPr>
              <w:t>modalità  ERTMS</w:t>
            </w:r>
            <w:proofErr w:type="gramEnd"/>
            <w:r>
              <w:rPr>
                <w:rFonts w:eastAsia="Times New Roman" w:cs="Times New Roman"/>
                <w:b/>
                <w:bCs/>
                <w:color w:val="auto"/>
                <w:sz w:val="16"/>
                <w:szCs w:val="16"/>
                <w:bdr w:val="none" w:sz="0" w:space="0" w:color="auto"/>
                <w:vertAlign w:val="superscript"/>
                <w:lang w:eastAsia="en-GB"/>
              </w:rPr>
              <w:t>2</w:t>
            </w:r>
            <w:r w:rsidRPr="00A03963">
              <w:rPr>
                <w:rFonts w:eastAsia="Times New Roman" w:cs="Times New Roman"/>
                <w:b/>
                <w:bCs/>
                <w:color w:val="auto"/>
                <w:sz w:val="16"/>
                <w:szCs w:val="16"/>
                <w:bdr w:val="none" w:sz="0" w:space="0" w:color="auto"/>
                <w:lang w:eastAsia="en-GB"/>
              </w:rPr>
              <w:t>/FERROVIARIA</w:t>
            </w:r>
          </w:p>
        </w:tc>
        <w:tc>
          <w:tcPr>
            <w:tcW w:w="445"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AD7B77B"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rPr>
                <w:rFonts w:eastAsia="Times New Roman" w:cs="Times New Roman"/>
                <w:b/>
                <w:color w:val="auto"/>
                <w:sz w:val="16"/>
                <w:szCs w:val="16"/>
                <w:bdr w:val="none" w:sz="0" w:space="0" w:color="auto"/>
                <w:lang w:val="en-GB" w:eastAsia="en-GB"/>
              </w:rPr>
            </w:pPr>
            <w:r>
              <w:rPr>
                <w:rFonts w:eastAsia="Times New Roman" w:cs="Times New Roman"/>
                <w:b/>
                <w:color w:val="auto"/>
                <w:sz w:val="16"/>
                <w:szCs w:val="16"/>
                <w:bdr w:val="none" w:sz="0" w:space="0" w:color="auto"/>
                <w:lang w:eastAsia="en-GB"/>
              </w:rPr>
              <w:t>2.824.228</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A6EC5C"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rFonts w:eastAsia="Times New Roman" w:cs="Times New Roman"/>
                <w:b/>
                <w:color w:val="auto"/>
                <w:sz w:val="16"/>
                <w:szCs w:val="16"/>
                <w:bdr w:val="none" w:sz="0" w:space="0" w:color="auto"/>
                <w:lang w:val="en-GB" w:eastAsia="en-GB"/>
              </w:rPr>
            </w:pPr>
            <w:r>
              <w:rPr>
                <w:rFonts w:eastAsia="Times New Roman" w:cs="Times New Roman"/>
                <w:b/>
                <w:color w:val="auto"/>
                <w:sz w:val="16"/>
                <w:szCs w:val="16"/>
                <w:bdr w:val="none" w:sz="0" w:space="0" w:color="auto"/>
                <w:lang w:val="en-GB" w:eastAsia="en-GB"/>
              </w:rPr>
              <w:t>1.195.225</w:t>
            </w:r>
          </w:p>
        </w:tc>
        <w:tc>
          <w:tcPr>
            <w:tcW w:w="45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EC656DE"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rFonts w:eastAsia="Times New Roman" w:cs="Times New Roman"/>
                <w:b/>
                <w:color w:val="auto"/>
                <w:sz w:val="16"/>
                <w:szCs w:val="16"/>
                <w:bdr w:val="none" w:sz="0" w:space="0" w:color="auto"/>
                <w:lang w:val="en-GB" w:eastAsia="en-GB"/>
              </w:rPr>
            </w:pPr>
            <w:r w:rsidRPr="00A03963">
              <w:rPr>
                <w:rFonts w:eastAsia="Times New Roman" w:cs="Times New Roman"/>
                <w:b/>
                <w:color w:val="auto"/>
                <w:sz w:val="16"/>
                <w:szCs w:val="16"/>
                <w:bdr w:val="none" w:sz="0" w:space="0" w:color="auto"/>
                <w:lang w:val="en-GB" w:eastAsia="en-GB"/>
              </w:rPr>
              <w:t xml:space="preserve"> </w:t>
            </w:r>
            <w:r>
              <w:rPr>
                <w:rFonts w:eastAsia="Times New Roman" w:cs="Times New Roman"/>
                <w:b/>
                <w:bCs/>
                <w:color w:val="auto"/>
                <w:sz w:val="16"/>
                <w:szCs w:val="16"/>
                <w:bdr w:val="none" w:sz="0" w:space="0" w:color="auto"/>
                <w:lang w:eastAsia="en-GB"/>
              </w:rPr>
              <w:t>5.105.015</w:t>
            </w:r>
          </w:p>
        </w:tc>
        <w:tc>
          <w:tcPr>
            <w:tcW w:w="4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9FF6D7E"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rFonts w:eastAsia="Times New Roman" w:cs="Times New Roman"/>
                <w:b/>
                <w:color w:val="auto"/>
                <w:sz w:val="16"/>
                <w:szCs w:val="16"/>
                <w:bdr w:val="none" w:sz="0" w:space="0" w:color="auto"/>
                <w:lang w:val="en-GB" w:eastAsia="en-GB"/>
              </w:rPr>
            </w:pPr>
            <w:r w:rsidRPr="00A03963">
              <w:rPr>
                <w:rFonts w:eastAsia="Times New Roman" w:cs="Times New Roman"/>
                <w:b/>
                <w:color w:val="auto"/>
                <w:sz w:val="16"/>
                <w:szCs w:val="16"/>
                <w:bdr w:val="none" w:sz="0" w:space="0" w:color="auto"/>
                <w:lang w:val="en-GB" w:eastAsia="en-GB"/>
              </w:rPr>
              <w:t xml:space="preserve"> </w:t>
            </w:r>
            <w:r>
              <w:rPr>
                <w:rFonts w:eastAsia="Times New Roman" w:cs="Times New Roman"/>
                <w:b/>
                <w:color w:val="auto"/>
                <w:sz w:val="16"/>
                <w:szCs w:val="16"/>
                <w:bdr w:val="none" w:sz="0" w:space="0" w:color="auto"/>
                <w:lang w:val="en-GB" w:eastAsia="en-GB"/>
              </w:rPr>
              <w:t xml:space="preserve"> </w:t>
            </w:r>
            <w:r w:rsidRPr="00977B3B">
              <w:rPr>
                <w:rFonts w:eastAsia="Times New Roman" w:cs="Times New Roman"/>
                <w:b/>
                <w:color w:val="auto"/>
                <w:sz w:val="16"/>
                <w:szCs w:val="16"/>
                <w:bdr w:val="none" w:sz="0" w:space="0" w:color="auto"/>
                <w:lang w:val="en-GB" w:eastAsia="en-GB"/>
              </w:rPr>
              <w:t xml:space="preserve">2.164.906 </w:t>
            </w:r>
            <w:r w:rsidRPr="00A03963">
              <w:rPr>
                <w:rFonts w:eastAsia="Times New Roman" w:cs="Times New Roman"/>
                <w:b/>
                <w:color w:val="auto"/>
                <w:sz w:val="16"/>
                <w:szCs w:val="16"/>
                <w:bdr w:val="none" w:sz="0" w:space="0" w:color="auto"/>
                <w:lang w:val="en-GB" w:eastAsia="en-GB"/>
              </w:rPr>
              <w:t xml:space="preserve"> </w:t>
            </w:r>
          </w:p>
        </w:tc>
        <w:tc>
          <w:tcPr>
            <w:tcW w:w="45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7187BB9"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rFonts w:eastAsia="Times New Roman" w:cs="Times New Roman"/>
                <w:b/>
                <w:color w:val="auto"/>
                <w:sz w:val="16"/>
                <w:szCs w:val="16"/>
                <w:bdr w:val="none" w:sz="0" w:space="0" w:color="auto"/>
                <w:lang w:val="en-GB" w:eastAsia="en-GB"/>
              </w:rPr>
            </w:pPr>
            <w:r w:rsidRPr="00A03963">
              <w:rPr>
                <w:rFonts w:eastAsia="Times New Roman" w:cs="Times New Roman"/>
                <w:b/>
                <w:color w:val="auto"/>
                <w:sz w:val="16"/>
                <w:szCs w:val="16"/>
                <w:bdr w:val="none" w:sz="0" w:space="0" w:color="auto"/>
                <w:lang w:val="en-GB" w:eastAsia="en-GB"/>
              </w:rPr>
              <w:t xml:space="preserve"> </w:t>
            </w:r>
            <w:r>
              <w:rPr>
                <w:rFonts w:eastAsia="Times New Roman" w:cs="Times New Roman"/>
                <w:b/>
                <w:color w:val="auto"/>
                <w:sz w:val="16"/>
                <w:szCs w:val="16"/>
                <w:bdr w:val="none" w:sz="0" w:space="0" w:color="auto"/>
                <w:lang w:val="en-GB" w:eastAsia="en-GB"/>
              </w:rPr>
              <w:t xml:space="preserve"> </w:t>
            </w:r>
            <w:r w:rsidRPr="00977B3B">
              <w:rPr>
                <w:rFonts w:eastAsia="Times New Roman" w:cs="Times New Roman"/>
                <w:b/>
                <w:color w:val="auto"/>
                <w:sz w:val="16"/>
                <w:szCs w:val="16"/>
                <w:bdr w:val="none" w:sz="0" w:space="0" w:color="auto"/>
                <w:lang w:val="en-GB" w:eastAsia="en-GB"/>
              </w:rPr>
              <w:t>410.925</w:t>
            </w:r>
          </w:p>
        </w:tc>
        <w:tc>
          <w:tcPr>
            <w:tcW w:w="298"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14F5946"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86" w:right="-112"/>
              <w:jc w:val="center"/>
              <w:rPr>
                <w:rFonts w:eastAsia="Times New Roman" w:cs="Times New Roman"/>
                <w:b/>
                <w:color w:val="auto"/>
                <w:sz w:val="16"/>
                <w:szCs w:val="16"/>
                <w:bdr w:val="none" w:sz="0" w:space="0" w:color="auto"/>
                <w:lang w:val="en-GB" w:eastAsia="en-GB"/>
              </w:rPr>
            </w:pPr>
            <w:r>
              <w:rPr>
                <w:rFonts w:eastAsia="Times New Roman" w:cs="Times New Roman"/>
                <w:b/>
                <w:color w:val="auto"/>
                <w:sz w:val="16"/>
                <w:szCs w:val="16"/>
                <w:bdr w:val="none" w:sz="0" w:space="0" w:color="auto"/>
                <w:lang w:val="en-GB" w:eastAsia="en-GB"/>
              </w:rPr>
              <w:t xml:space="preserve"> </w:t>
            </w:r>
            <w:r w:rsidRPr="00977B3B">
              <w:rPr>
                <w:rFonts w:eastAsia="Times New Roman" w:cs="Times New Roman"/>
                <w:b/>
                <w:color w:val="auto"/>
                <w:sz w:val="16"/>
                <w:szCs w:val="16"/>
                <w:bdr w:val="none" w:sz="0" w:space="0" w:color="auto"/>
                <w:lang w:val="en-GB" w:eastAsia="en-GB"/>
              </w:rPr>
              <w:t>34</w:t>
            </w:r>
            <w:r>
              <w:rPr>
                <w:rFonts w:eastAsia="Times New Roman" w:cs="Times New Roman"/>
                <w:b/>
                <w:color w:val="auto"/>
                <w:sz w:val="16"/>
                <w:szCs w:val="16"/>
                <w:bdr w:val="none" w:sz="0" w:space="0" w:color="auto"/>
                <w:lang w:val="en-GB" w:eastAsia="en-GB"/>
              </w:rPr>
              <w:t>,4</w:t>
            </w:r>
          </w:p>
        </w:tc>
        <w:tc>
          <w:tcPr>
            <w:tcW w:w="46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3C20AFF1" w14:textId="77777777" w:rsidR="00B326C9" w:rsidRPr="00A0396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right="-120"/>
              <w:jc w:val="center"/>
              <w:textAlignment w:val="center"/>
              <w:rPr>
                <w:rFonts w:eastAsia="Times New Roman" w:cs="Times New Roman"/>
                <w:b/>
                <w:color w:val="auto"/>
                <w:sz w:val="16"/>
                <w:szCs w:val="16"/>
                <w:bdr w:val="none" w:sz="0" w:space="0" w:color="auto"/>
                <w:lang w:val="en-GB" w:eastAsia="en-GB"/>
              </w:rPr>
            </w:pPr>
            <w:r>
              <w:rPr>
                <w:rFonts w:eastAsia="Times New Roman" w:cs="Times New Roman"/>
                <w:b/>
                <w:color w:val="auto"/>
                <w:sz w:val="16"/>
                <w:szCs w:val="16"/>
                <w:bdr w:val="none" w:sz="0" w:space="0" w:color="auto"/>
                <w:lang w:val="en-GB" w:eastAsia="en-GB"/>
              </w:rPr>
              <w:t xml:space="preserve"> </w:t>
            </w:r>
            <w:r w:rsidRPr="00DF713F">
              <w:rPr>
                <w:rFonts w:eastAsia="Times New Roman" w:cs="Times New Roman"/>
                <w:b/>
                <w:color w:val="auto"/>
                <w:sz w:val="16"/>
                <w:szCs w:val="16"/>
                <w:bdr w:val="none" w:sz="0" w:space="0" w:color="auto"/>
                <w:lang w:val="en-GB" w:eastAsia="en-GB"/>
              </w:rPr>
              <w:t>- 2.434</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0A7E67"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37" w:right="-16"/>
              <w:jc w:val="right"/>
              <w:rPr>
                <w:rFonts w:eastAsia="Times New Roman" w:cs="Times New Roman"/>
                <w:b/>
                <w:color w:val="auto"/>
                <w:sz w:val="16"/>
                <w:szCs w:val="16"/>
                <w:bdr w:val="none" w:sz="0" w:space="0" w:color="auto"/>
                <w:lang w:eastAsia="en-GB"/>
              </w:rPr>
            </w:pPr>
            <w:r>
              <w:rPr>
                <w:rFonts w:eastAsia="Times New Roman" w:cs="Times New Roman"/>
                <w:b/>
                <w:color w:val="auto"/>
                <w:sz w:val="16"/>
                <w:szCs w:val="16"/>
                <w:bdr w:val="none" w:sz="0" w:space="0" w:color="auto"/>
                <w:lang w:eastAsia="en-GB"/>
              </w:rPr>
              <w:t xml:space="preserve"> 1.118.896</w:t>
            </w:r>
          </w:p>
        </w:tc>
        <w:tc>
          <w:tcPr>
            <w:tcW w:w="199" w:type="pct"/>
            <w:gridSpan w:val="2"/>
            <w:tcBorders>
              <w:top w:val="single" w:sz="4" w:space="0" w:color="auto"/>
              <w:left w:val="single" w:sz="4" w:space="0" w:color="auto"/>
              <w:bottom w:val="single" w:sz="4" w:space="0" w:color="auto"/>
            </w:tcBorders>
            <w:shd w:val="clear" w:color="auto" w:fill="auto"/>
            <w:vAlign w:val="center"/>
          </w:tcPr>
          <w:p w14:paraId="26A004B2" w14:textId="77777777" w:rsidR="00B326C9" w:rsidRPr="002E17C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76" w:right="-102"/>
              <w:jc w:val="center"/>
              <w:textAlignment w:val="center"/>
              <w:rPr>
                <w:rFonts w:eastAsia="Times New Roman" w:cs="Times New Roman"/>
                <w:b/>
                <w:color w:val="auto"/>
                <w:sz w:val="16"/>
                <w:szCs w:val="16"/>
                <w:bdr w:val="none" w:sz="0" w:space="0" w:color="auto"/>
                <w:vertAlign w:val="superscript"/>
                <w:lang w:eastAsia="en-GB"/>
              </w:rPr>
            </w:pPr>
            <w:r>
              <w:rPr>
                <w:rFonts w:eastAsia="Times New Roman" w:cs="Times New Roman"/>
                <w:b/>
                <w:color w:val="auto"/>
                <w:sz w:val="16"/>
                <w:szCs w:val="16"/>
                <w:bdr w:val="none" w:sz="0" w:space="0" w:color="auto"/>
                <w:lang w:eastAsia="en-GB"/>
              </w:rPr>
              <w:t>40</w:t>
            </w:r>
            <w:r>
              <w:rPr>
                <w:rFonts w:eastAsia="Times New Roman" w:cs="Times New Roman"/>
                <w:b/>
                <w:color w:val="auto"/>
                <w:sz w:val="16"/>
                <w:szCs w:val="16"/>
                <w:bdr w:val="none" w:sz="0" w:space="0" w:color="auto"/>
                <w:vertAlign w:val="superscript"/>
                <w:lang w:eastAsia="en-GB"/>
              </w:rPr>
              <w:t>14</w:t>
            </w:r>
          </w:p>
        </w:tc>
      </w:tr>
      <w:tr w:rsidR="00B326C9" w:rsidRPr="002D6F83" w14:paraId="7D96EB4C" w14:textId="77777777" w:rsidTr="00C56F61">
        <w:trPr>
          <w:trHeight w:val="397"/>
        </w:trPr>
        <w:tc>
          <w:tcPr>
            <w:tcW w:w="5000" w:type="pct"/>
            <w:gridSpan w:val="37"/>
            <w:tcBorders>
              <w:top w:val="single" w:sz="4" w:space="0" w:color="auto"/>
              <w:left w:val="nil"/>
              <w:bottom w:val="single" w:sz="4" w:space="0" w:color="auto"/>
            </w:tcBorders>
            <w:shd w:val="clear" w:color="auto" w:fill="auto"/>
            <w:noWrap/>
            <w:vAlign w:val="center"/>
          </w:tcPr>
          <w:p w14:paraId="4439EF1C" w14:textId="77777777" w:rsidR="00B326C9" w:rsidRPr="00EC077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p>
        </w:tc>
      </w:tr>
      <w:tr w:rsidR="00B326C9" w:rsidRPr="002D6F83" w14:paraId="6B47B372" w14:textId="77777777" w:rsidTr="00C56F61">
        <w:trPr>
          <w:trHeight w:val="397"/>
        </w:trPr>
        <w:tc>
          <w:tcPr>
            <w:tcW w:w="5000" w:type="pct"/>
            <w:gridSpan w:val="37"/>
            <w:tcBorders>
              <w:top w:val="single" w:sz="4" w:space="0" w:color="auto"/>
              <w:left w:val="nil"/>
              <w:bottom w:val="single" w:sz="4" w:space="0" w:color="auto"/>
            </w:tcBorders>
            <w:shd w:val="clear" w:color="auto" w:fill="auto"/>
            <w:noWrap/>
            <w:vAlign w:val="center"/>
            <w:hideMark/>
          </w:tcPr>
          <w:p w14:paraId="21CDB28E" w14:textId="77777777" w:rsidR="00B326C9" w:rsidRPr="00EC077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EC0779">
              <w:rPr>
                <w:rFonts w:eastAsia="Times New Roman" w:cs="Times New Roman"/>
                <w:b/>
                <w:bCs/>
                <w:color w:val="auto"/>
                <w:sz w:val="16"/>
                <w:szCs w:val="16"/>
                <w:bdr w:val="none" w:sz="0" w:space="0" w:color="auto"/>
                <w:lang w:eastAsia="en-GB"/>
              </w:rPr>
              <w:t>Modalità: ITS</w:t>
            </w:r>
            <w:r w:rsidRPr="00EC0779">
              <w:rPr>
                <w:rFonts w:eastAsia="Times New Roman" w:cs="Times New Roman"/>
                <w:b/>
                <w:bCs/>
                <w:color w:val="auto"/>
                <w:sz w:val="16"/>
                <w:szCs w:val="16"/>
                <w:bdr w:val="none" w:sz="0" w:space="0" w:color="auto"/>
                <w:vertAlign w:val="superscript"/>
                <w:lang w:eastAsia="en-GB"/>
              </w:rPr>
              <w:t>15</w:t>
            </w:r>
            <w:r w:rsidRPr="00EC0779">
              <w:rPr>
                <w:rFonts w:eastAsia="Times New Roman" w:cs="Times New Roman"/>
                <w:b/>
                <w:bCs/>
                <w:color w:val="auto"/>
                <w:sz w:val="16"/>
                <w:szCs w:val="16"/>
                <w:bdr w:val="none" w:sz="0" w:space="0" w:color="auto"/>
                <w:lang w:eastAsia="en-GB"/>
              </w:rPr>
              <w:t>/STRADALE</w:t>
            </w:r>
          </w:p>
        </w:tc>
      </w:tr>
      <w:tr w:rsidR="00767928" w:rsidRPr="00922A9B" w14:paraId="5E14EBE5" w14:textId="77777777" w:rsidTr="00C56F61">
        <w:trPr>
          <w:cantSplit/>
          <w:trHeight w:val="1797"/>
        </w:trPr>
        <w:tc>
          <w:tcPr>
            <w:tcW w:w="230" w:type="pct"/>
            <w:tcBorders>
              <w:top w:val="single" w:sz="4" w:space="0" w:color="auto"/>
              <w:left w:val="nil"/>
              <w:bottom w:val="single" w:sz="4" w:space="0" w:color="auto"/>
              <w:right w:val="single" w:sz="4" w:space="0" w:color="auto"/>
            </w:tcBorders>
            <w:shd w:val="clear" w:color="auto" w:fill="auto"/>
            <w:noWrap/>
            <w:textDirection w:val="btLr"/>
            <w:vAlign w:val="center"/>
          </w:tcPr>
          <w:p w14:paraId="38BC0FA8" w14:textId="77777777" w:rsidR="00767928" w:rsidRPr="009924BC"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rPr>
                <w:rFonts w:eastAsia="Times New Roman" w:cs="Times New Roman"/>
                <w:b/>
                <w:bCs/>
                <w:color w:val="auto"/>
                <w:sz w:val="16"/>
                <w:szCs w:val="16"/>
                <w:bdr w:val="none" w:sz="0" w:space="0" w:color="auto"/>
                <w:lang w:eastAsia="en-GB"/>
              </w:rPr>
            </w:pPr>
            <w:r w:rsidRPr="008C2031">
              <w:rPr>
                <w:rFonts w:eastAsia="Times New Roman" w:cs="Times New Roman"/>
                <w:b/>
                <w:bCs/>
                <w:color w:val="auto"/>
                <w:sz w:val="16"/>
                <w:szCs w:val="16"/>
                <w:bdr w:val="none" w:sz="0" w:space="0" w:color="auto"/>
                <w:lang w:eastAsia="en-GB"/>
              </w:rPr>
              <w:t>a. ID</w:t>
            </w:r>
          </w:p>
        </w:tc>
        <w:tc>
          <w:tcPr>
            <w:tcW w:w="371"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21B16198" w14:textId="77777777" w:rsidR="00767928" w:rsidRPr="00EC0779"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b. Codice </w:t>
            </w:r>
            <w:r w:rsidRPr="002A6033">
              <w:rPr>
                <w:rFonts w:eastAsia="Times New Roman" w:cs="Times New Roman"/>
                <w:b/>
                <w:bCs/>
                <w:color w:val="auto"/>
                <w:sz w:val="16"/>
                <w:szCs w:val="16"/>
                <w:bdr w:val="none" w:sz="0" w:space="0" w:color="auto"/>
                <w:lang w:eastAsia="en-GB"/>
              </w:rPr>
              <w:t>Azione</w:t>
            </w:r>
          </w:p>
        </w:tc>
        <w:tc>
          <w:tcPr>
            <w:tcW w:w="587"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2CF9DB96" w14:textId="77777777" w:rsidR="00767928" w:rsidRPr="00EC0779"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c. Titolo A</w:t>
            </w:r>
            <w:r w:rsidRPr="002A6033">
              <w:rPr>
                <w:rFonts w:eastAsia="Times New Roman" w:cs="Times New Roman"/>
                <w:b/>
                <w:bCs/>
                <w:color w:val="auto"/>
                <w:sz w:val="16"/>
                <w:szCs w:val="16"/>
                <w:bdr w:val="none" w:sz="0" w:space="0" w:color="auto"/>
                <w:lang w:eastAsia="en-GB"/>
              </w:rPr>
              <w:t>zione</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tcPr>
          <w:p w14:paraId="0869DB64" w14:textId="77777777" w:rsidR="00767928" w:rsidRPr="00EC0779"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d. </w:t>
            </w:r>
            <w:r w:rsidRPr="002A6033">
              <w:rPr>
                <w:rFonts w:eastAsia="Times New Roman" w:cs="Times New Roman"/>
                <w:b/>
                <w:bCs/>
                <w:color w:val="auto"/>
                <w:sz w:val="16"/>
                <w:szCs w:val="16"/>
                <w:bdr w:val="none" w:sz="0" w:space="0" w:color="auto"/>
                <w:lang w:eastAsia="en-GB"/>
              </w:rPr>
              <w:t>Data fine Azione</w:t>
            </w:r>
          </w:p>
        </w:tc>
        <w:tc>
          <w:tcPr>
            <w:tcW w:w="445"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60125342" w14:textId="77777777" w:rsidR="00767928" w:rsidRPr="006362D4" w:rsidRDefault="00767928" w:rsidP="00E809C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e. Costo Azione IT</w:t>
            </w:r>
          </w:p>
          <w:p w14:paraId="3A10F334"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3</w:t>
            </w:r>
          </w:p>
        </w:tc>
        <w:tc>
          <w:tcPr>
            <w:tcW w:w="420"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374EDEC5"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f. Contri</w:t>
            </w:r>
            <w:r>
              <w:rPr>
                <w:rFonts w:eastAsia="Times New Roman" w:cs="Times New Roman"/>
                <w:b/>
                <w:bCs/>
                <w:color w:val="auto"/>
                <w:sz w:val="16"/>
                <w:szCs w:val="16"/>
                <w:bdr w:val="none" w:sz="0" w:space="0" w:color="auto"/>
                <w:lang w:eastAsia="en-GB"/>
              </w:rPr>
              <w:t>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4</w:t>
            </w:r>
          </w:p>
        </w:tc>
        <w:tc>
          <w:tcPr>
            <w:tcW w:w="452"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67C4ECFA"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g. Costo totale Azione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5</w:t>
            </w:r>
          </w:p>
        </w:tc>
        <w:tc>
          <w:tcPr>
            <w:tcW w:w="456" w:type="pct"/>
            <w:gridSpan w:val="5"/>
            <w:tcBorders>
              <w:top w:val="single" w:sz="4" w:space="0" w:color="auto"/>
              <w:left w:val="nil"/>
              <w:bottom w:val="single" w:sz="4" w:space="0" w:color="auto"/>
              <w:right w:val="single" w:sz="4" w:space="0" w:color="auto"/>
            </w:tcBorders>
            <w:shd w:val="clear" w:color="auto" w:fill="auto"/>
            <w:textDirection w:val="btLr"/>
            <w:vAlign w:val="center"/>
          </w:tcPr>
          <w:p w14:paraId="08C4229E"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h. Contributo</w:t>
            </w:r>
            <w:r>
              <w:rPr>
                <w:rFonts w:eastAsia="Times New Roman" w:cs="Times New Roman"/>
                <w:b/>
                <w:bCs/>
                <w:color w:val="auto"/>
                <w:sz w:val="16"/>
                <w:szCs w:val="16"/>
                <w:bdr w:val="none" w:sz="0" w:space="0" w:color="auto"/>
                <w:lang w:eastAsia="en-GB"/>
              </w:rPr>
              <w:t xml:space="preserve"> comunitario totale assegnato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6</w:t>
            </w:r>
          </w:p>
        </w:tc>
        <w:tc>
          <w:tcPr>
            <w:tcW w:w="466"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6770BB2C"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i. Totale contributo comunitar</w:t>
            </w:r>
            <w:r>
              <w:rPr>
                <w:rFonts w:eastAsia="Times New Roman" w:cs="Times New Roman"/>
                <w:b/>
                <w:bCs/>
                <w:color w:val="auto"/>
                <w:sz w:val="16"/>
                <w:szCs w:val="16"/>
                <w:bdr w:val="none" w:sz="0" w:space="0" w:color="auto"/>
                <w:lang w:eastAsia="en-GB"/>
              </w:rPr>
              <w:t>io incassato IT al 30.04.2020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7</w:t>
            </w:r>
          </w:p>
        </w:tc>
        <w:tc>
          <w:tcPr>
            <w:tcW w:w="283"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6AC97487"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 xml:space="preserve">j. Contributo incassato rispetto al contributo assegnato </w:t>
            </w:r>
            <w:proofErr w:type="gramStart"/>
            <w:r w:rsidRPr="006362D4">
              <w:rPr>
                <w:rFonts w:eastAsia="Times New Roman" w:cs="Times New Roman"/>
                <w:b/>
                <w:bCs/>
                <w:color w:val="auto"/>
                <w:sz w:val="16"/>
                <w:szCs w:val="16"/>
                <w:bdr w:val="none" w:sz="0" w:space="0" w:color="auto"/>
                <w:lang w:eastAsia="en-GB"/>
              </w:rPr>
              <w:t>IT(</w:t>
            </w:r>
            <w:proofErr w:type="gramEnd"/>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8</w:t>
            </w:r>
          </w:p>
        </w:tc>
        <w:tc>
          <w:tcPr>
            <w:tcW w:w="464" w:type="pct"/>
            <w:gridSpan w:val="6"/>
            <w:tcBorders>
              <w:top w:val="single" w:sz="4" w:space="0" w:color="auto"/>
              <w:left w:val="nil"/>
              <w:bottom w:val="single" w:sz="4" w:space="0" w:color="auto"/>
              <w:right w:val="single" w:sz="4" w:space="0" w:color="auto"/>
            </w:tcBorders>
            <w:shd w:val="clear" w:color="auto" w:fill="auto"/>
            <w:textDirection w:val="btLr"/>
            <w:vAlign w:val="center"/>
          </w:tcPr>
          <w:p w14:paraId="4D884E50"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k. Varia</w:t>
            </w:r>
            <w:r>
              <w:rPr>
                <w:rFonts w:eastAsia="Times New Roman" w:cs="Times New Roman"/>
                <w:b/>
                <w:bCs/>
                <w:color w:val="auto"/>
                <w:sz w:val="16"/>
                <w:szCs w:val="16"/>
                <w:bdr w:val="none" w:sz="0" w:space="0" w:color="auto"/>
                <w:lang w:eastAsia="en-GB"/>
              </w:rPr>
              <w:t>zione contributo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9</w:t>
            </w:r>
          </w:p>
        </w:tc>
        <w:tc>
          <w:tcPr>
            <w:tcW w:w="407"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013122DE" w14:textId="77777777" w:rsidR="00767928" w:rsidRPr="00B70F83"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l. Importo speso IT al 31/12/</w:t>
            </w:r>
            <w:proofErr w:type="gramStart"/>
            <w:r w:rsidRPr="006362D4">
              <w:rPr>
                <w:rFonts w:eastAsia="Times New Roman" w:cs="Times New Roman"/>
                <w:b/>
                <w:bCs/>
                <w:color w:val="auto"/>
                <w:sz w:val="16"/>
                <w:szCs w:val="16"/>
                <w:bdr w:val="none" w:sz="0" w:space="0" w:color="auto"/>
                <w:lang w:eastAsia="en-GB"/>
              </w:rPr>
              <w:t>1</w:t>
            </w:r>
            <w:r>
              <w:rPr>
                <w:rFonts w:eastAsia="Times New Roman" w:cs="Times New Roman"/>
                <w:b/>
                <w:bCs/>
                <w:color w:val="auto"/>
                <w:sz w:val="16"/>
                <w:szCs w:val="16"/>
                <w:bdr w:val="none" w:sz="0" w:space="0" w:color="auto"/>
                <w:lang w:eastAsia="en-GB"/>
              </w:rPr>
              <w:t>9  incluse</w:t>
            </w:r>
            <w:proofErr w:type="gramEnd"/>
            <w:r>
              <w:rPr>
                <w:rFonts w:eastAsia="Times New Roman" w:cs="Times New Roman"/>
                <w:b/>
                <w:bCs/>
                <w:color w:val="auto"/>
                <w:sz w:val="16"/>
                <w:szCs w:val="16"/>
                <w:bdr w:val="none" w:sz="0" w:space="0" w:color="auto"/>
                <w:lang w:eastAsia="en-GB"/>
              </w:rPr>
              <w:t xml:space="preserve"> le quote nazionali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10</w:t>
            </w:r>
          </w:p>
        </w:tc>
        <w:tc>
          <w:tcPr>
            <w:tcW w:w="199" w:type="pct"/>
            <w:gridSpan w:val="2"/>
            <w:tcBorders>
              <w:top w:val="single" w:sz="4" w:space="0" w:color="auto"/>
              <w:left w:val="nil"/>
              <w:bottom w:val="single" w:sz="4" w:space="0" w:color="auto"/>
            </w:tcBorders>
            <w:shd w:val="clear" w:color="auto" w:fill="auto"/>
            <w:textDirection w:val="btLr"/>
            <w:vAlign w:val="center"/>
          </w:tcPr>
          <w:p w14:paraId="55133CEB"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eastAsia="en-GB"/>
              </w:rPr>
              <w:t>m. Avanzamento %</w:t>
            </w:r>
            <w:r w:rsidRPr="006362D4">
              <w:rPr>
                <w:rFonts w:eastAsia="Times New Roman" w:cs="Times New Roman"/>
                <w:b/>
                <w:bCs/>
                <w:color w:val="auto"/>
                <w:sz w:val="16"/>
                <w:szCs w:val="16"/>
                <w:bdr w:val="none" w:sz="0" w:space="0" w:color="auto"/>
                <w:vertAlign w:val="superscript"/>
                <w:lang w:eastAsia="en-GB"/>
              </w:rPr>
              <w:t>11</w:t>
            </w:r>
          </w:p>
        </w:tc>
      </w:tr>
      <w:tr w:rsidR="00B326C9" w:rsidRPr="00922A9B" w14:paraId="41F6BD89" w14:textId="77777777" w:rsidTr="00C56F61">
        <w:trPr>
          <w:trHeight w:val="1699"/>
        </w:trPr>
        <w:tc>
          <w:tcPr>
            <w:tcW w:w="230" w:type="pct"/>
            <w:tcBorders>
              <w:top w:val="nil"/>
              <w:left w:val="nil"/>
              <w:bottom w:val="single" w:sz="4" w:space="0" w:color="auto"/>
              <w:right w:val="single" w:sz="4" w:space="0" w:color="auto"/>
            </w:tcBorders>
            <w:shd w:val="clear" w:color="auto" w:fill="auto"/>
            <w:noWrap/>
            <w:vAlign w:val="center"/>
            <w:hideMark/>
          </w:tcPr>
          <w:p w14:paraId="63AAA46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p>
        </w:tc>
        <w:tc>
          <w:tcPr>
            <w:tcW w:w="371" w:type="pct"/>
            <w:gridSpan w:val="2"/>
            <w:tcBorders>
              <w:top w:val="nil"/>
              <w:left w:val="nil"/>
              <w:bottom w:val="single" w:sz="4" w:space="0" w:color="auto"/>
              <w:right w:val="single" w:sz="4" w:space="0" w:color="auto"/>
            </w:tcBorders>
            <w:shd w:val="clear" w:color="auto" w:fill="auto"/>
            <w:vAlign w:val="center"/>
            <w:hideMark/>
          </w:tcPr>
          <w:p w14:paraId="2471F90F"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2014-EU-TA-0582</w:t>
            </w:r>
          </w:p>
          <w:p w14:paraId="436C6EA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2E17CB">
              <w:rPr>
                <w:rFonts w:eastAsia="Times New Roman" w:cs="Times New Roman"/>
                <w:color w:val="auto"/>
                <w:sz w:val="16"/>
                <w:szCs w:val="16"/>
                <w:bdr w:val="none" w:sz="0" w:space="0" w:color="auto"/>
                <w:vertAlign w:val="superscript"/>
                <w:lang w:val="en-GB" w:eastAsia="en-GB"/>
              </w:rPr>
              <w:t>13</w:t>
            </w:r>
          </w:p>
        </w:tc>
        <w:tc>
          <w:tcPr>
            <w:tcW w:w="587" w:type="pct"/>
            <w:gridSpan w:val="2"/>
            <w:tcBorders>
              <w:top w:val="nil"/>
              <w:left w:val="nil"/>
              <w:bottom w:val="single" w:sz="4" w:space="0" w:color="auto"/>
              <w:right w:val="single" w:sz="4" w:space="0" w:color="auto"/>
            </w:tcBorders>
            <w:shd w:val="clear" w:color="auto" w:fill="auto"/>
            <w:vAlign w:val="center"/>
            <w:hideMark/>
          </w:tcPr>
          <w:p w14:paraId="31DE7522"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I </w:t>
            </w:r>
            <w:proofErr w:type="spellStart"/>
            <w:r w:rsidRPr="00922A9B">
              <w:rPr>
                <w:rFonts w:eastAsia="Times New Roman" w:cs="Times New Roman"/>
                <w:color w:val="auto"/>
                <w:sz w:val="16"/>
                <w:szCs w:val="16"/>
                <w:bdr w:val="none" w:sz="0" w:space="0" w:color="auto"/>
                <w:lang w:eastAsia="en-GB"/>
              </w:rPr>
              <w:t>HeERO</w:t>
            </w:r>
            <w:proofErr w:type="spellEnd"/>
            <w:r w:rsidRPr="00922A9B">
              <w:rPr>
                <w:rFonts w:eastAsia="Times New Roman" w:cs="Times New Roman"/>
                <w:color w:val="auto"/>
                <w:sz w:val="16"/>
                <w:szCs w:val="16"/>
                <w:bdr w:val="none" w:sz="0" w:space="0" w:color="auto"/>
                <w:lang w:eastAsia="en-GB"/>
              </w:rPr>
              <w:t xml:space="preserve"> – </w:t>
            </w:r>
            <w:proofErr w:type="spellStart"/>
            <w:r w:rsidRPr="00922A9B">
              <w:rPr>
                <w:rFonts w:eastAsia="Times New Roman" w:cs="Times New Roman"/>
                <w:color w:val="auto"/>
                <w:sz w:val="16"/>
                <w:szCs w:val="16"/>
                <w:bdr w:val="none" w:sz="0" w:space="0" w:color="auto"/>
                <w:lang w:eastAsia="en-GB"/>
              </w:rPr>
              <w:t>Implementazio</w:t>
            </w:r>
            <w:proofErr w:type="spellEnd"/>
            <w:r w:rsidR="00D160B5">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del sistema di soccorso stradale di emergenza </w:t>
            </w:r>
            <w:proofErr w:type="spellStart"/>
            <w:r w:rsidRPr="00922A9B">
              <w:rPr>
                <w:rFonts w:eastAsia="Times New Roman" w:cs="Times New Roman"/>
                <w:color w:val="auto"/>
                <w:sz w:val="16"/>
                <w:szCs w:val="16"/>
                <w:bdr w:val="none" w:sz="0" w:space="0" w:color="auto"/>
                <w:lang w:eastAsia="en-GB"/>
              </w:rPr>
              <w:t>eCall</w:t>
            </w:r>
            <w:proofErr w:type="spellEnd"/>
            <w:r w:rsidRPr="00922A9B">
              <w:rPr>
                <w:rFonts w:eastAsia="Times New Roman" w:cs="Times New Roman"/>
                <w:color w:val="auto"/>
                <w:sz w:val="16"/>
                <w:szCs w:val="16"/>
                <w:bdr w:val="none" w:sz="0" w:space="0" w:color="auto"/>
                <w:lang w:eastAsia="en-GB"/>
              </w:rPr>
              <w:t xml:space="preserve"> ai s</w:t>
            </w:r>
            <w:r w:rsidR="00D477D8">
              <w:rPr>
                <w:rFonts w:eastAsia="Times New Roman" w:cs="Times New Roman"/>
                <w:color w:val="auto"/>
                <w:sz w:val="16"/>
                <w:szCs w:val="16"/>
                <w:bdr w:val="none" w:sz="0" w:space="0" w:color="auto"/>
                <w:lang w:eastAsia="en-GB"/>
              </w:rPr>
              <w:t>ensi della Direttiva 2010/40/EU</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3E40591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31/03/18</w:t>
            </w:r>
          </w:p>
        </w:tc>
        <w:tc>
          <w:tcPr>
            <w:tcW w:w="445" w:type="pct"/>
            <w:gridSpan w:val="3"/>
            <w:tcBorders>
              <w:top w:val="nil"/>
              <w:left w:val="nil"/>
              <w:bottom w:val="single" w:sz="4" w:space="0" w:color="auto"/>
              <w:right w:val="single" w:sz="4" w:space="0" w:color="auto"/>
            </w:tcBorders>
            <w:shd w:val="clear" w:color="auto" w:fill="auto"/>
            <w:noWrap/>
            <w:vAlign w:val="center"/>
          </w:tcPr>
          <w:p w14:paraId="45A79D7A"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2.</w:t>
            </w:r>
            <w:r>
              <w:rPr>
                <w:rFonts w:eastAsia="Times New Roman" w:cs="Times New Roman"/>
                <w:color w:val="auto"/>
                <w:sz w:val="16"/>
                <w:szCs w:val="16"/>
                <w:bdr w:val="none" w:sz="0" w:space="0" w:color="auto"/>
                <w:lang w:eastAsia="en-GB"/>
              </w:rPr>
              <w:t>344</w:t>
            </w:r>
            <w:r w:rsidRPr="00841AD8">
              <w:rPr>
                <w:rFonts w:eastAsia="Times New Roman" w:cs="Times New Roman"/>
                <w:color w:val="auto"/>
                <w:sz w:val="16"/>
                <w:szCs w:val="16"/>
                <w:bdr w:val="none" w:sz="0" w:space="0" w:color="auto"/>
                <w:lang w:eastAsia="en-GB"/>
              </w:rPr>
              <w:t xml:space="preserve"> </w:t>
            </w:r>
          </w:p>
        </w:tc>
        <w:tc>
          <w:tcPr>
            <w:tcW w:w="420" w:type="pct"/>
            <w:gridSpan w:val="2"/>
            <w:tcBorders>
              <w:top w:val="nil"/>
              <w:left w:val="nil"/>
              <w:bottom w:val="single" w:sz="4" w:space="0" w:color="auto"/>
              <w:right w:val="single" w:sz="4" w:space="0" w:color="auto"/>
            </w:tcBorders>
            <w:shd w:val="clear" w:color="auto" w:fill="auto"/>
            <w:noWrap/>
            <w:vAlign w:val="center"/>
          </w:tcPr>
          <w:p w14:paraId="4A513965"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1.</w:t>
            </w:r>
            <w:r>
              <w:rPr>
                <w:rFonts w:eastAsia="Times New Roman" w:cs="Times New Roman"/>
                <w:color w:val="auto"/>
                <w:sz w:val="16"/>
                <w:szCs w:val="16"/>
                <w:bdr w:val="none" w:sz="0" w:space="0" w:color="auto"/>
                <w:lang w:eastAsia="en-GB"/>
              </w:rPr>
              <w:t>172</w:t>
            </w:r>
            <w:r w:rsidRPr="00841AD8">
              <w:rPr>
                <w:rFonts w:eastAsia="Times New Roman" w:cs="Times New Roman"/>
                <w:color w:val="auto"/>
                <w:sz w:val="16"/>
                <w:szCs w:val="16"/>
                <w:bdr w:val="none" w:sz="0" w:space="0" w:color="auto"/>
                <w:lang w:eastAsia="en-GB"/>
              </w:rPr>
              <w:t xml:space="preserve"> </w:t>
            </w:r>
          </w:p>
        </w:tc>
        <w:tc>
          <w:tcPr>
            <w:tcW w:w="452" w:type="pct"/>
            <w:gridSpan w:val="3"/>
            <w:tcBorders>
              <w:top w:val="nil"/>
              <w:left w:val="nil"/>
              <w:bottom w:val="single" w:sz="4" w:space="0" w:color="auto"/>
              <w:right w:val="single" w:sz="4" w:space="0" w:color="auto"/>
            </w:tcBorders>
            <w:shd w:val="clear" w:color="auto" w:fill="auto"/>
            <w:noWrap/>
            <w:vAlign w:val="center"/>
          </w:tcPr>
          <w:p w14:paraId="2913BCFF"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26.329</w:t>
            </w:r>
          </w:p>
        </w:tc>
        <w:tc>
          <w:tcPr>
            <w:tcW w:w="456" w:type="pct"/>
            <w:gridSpan w:val="5"/>
            <w:tcBorders>
              <w:top w:val="nil"/>
              <w:left w:val="nil"/>
              <w:bottom w:val="single" w:sz="4" w:space="0" w:color="auto"/>
              <w:right w:val="single" w:sz="4" w:space="0" w:color="auto"/>
            </w:tcBorders>
            <w:shd w:val="clear" w:color="auto" w:fill="auto"/>
            <w:noWrap/>
            <w:vAlign w:val="center"/>
          </w:tcPr>
          <w:p w14:paraId="75464C4A"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13.165</w:t>
            </w:r>
          </w:p>
        </w:tc>
        <w:tc>
          <w:tcPr>
            <w:tcW w:w="466" w:type="pct"/>
            <w:gridSpan w:val="4"/>
            <w:tcBorders>
              <w:top w:val="nil"/>
              <w:left w:val="nil"/>
              <w:bottom w:val="single" w:sz="4" w:space="0" w:color="auto"/>
              <w:right w:val="single" w:sz="4" w:space="0" w:color="auto"/>
            </w:tcBorders>
            <w:shd w:val="clear" w:color="auto" w:fill="auto"/>
            <w:noWrap/>
            <w:vAlign w:val="center"/>
          </w:tcPr>
          <w:p w14:paraId="24E9A1EE" w14:textId="77777777" w:rsidR="00B326C9" w:rsidRPr="00FB7D3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3C5119">
              <w:rPr>
                <w:rFonts w:eastAsia="Times New Roman" w:cs="Times New Roman"/>
                <w:color w:val="auto"/>
                <w:sz w:val="16"/>
                <w:szCs w:val="16"/>
                <w:bdr w:val="none" w:sz="0" w:space="0" w:color="auto"/>
                <w:lang w:eastAsia="en-GB"/>
              </w:rPr>
              <w:t>1.</w:t>
            </w:r>
            <w:r>
              <w:rPr>
                <w:rFonts w:eastAsia="Times New Roman" w:cs="Times New Roman"/>
                <w:color w:val="auto"/>
                <w:sz w:val="16"/>
                <w:szCs w:val="16"/>
                <w:bdr w:val="none" w:sz="0" w:space="0" w:color="auto"/>
                <w:lang w:eastAsia="en-GB"/>
              </w:rPr>
              <w:t>057</w:t>
            </w:r>
          </w:p>
        </w:tc>
        <w:tc>
          <w:tcPr>
            <w:tcW w:w="283" w:type="pct"/>
            <w:gridSpan w:val="3"/>
            <w:tcBorders>
              <w:top w:val="nil"/>
              <w:left w:val="nil"/>
              <w:bottom w:val="single" w:sz="4" w:space="0" w:color="auto"/>
              <w:right w:val="single" w:sz="4" w:space="0" w:color="auto"/>
            </w:tcBorders>
            <w:shd w:val="clear" w:color="auto" w:fill="auto"/>
            <w:noWrap/>
            <w:vAlign w:val="center"/>
          </w:tcPr>
          <w:p w14:paraId="31F5E26E" w14:textId="77777777" w:rsidR="00B326C9" w:rsidRPr="00FB7D3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90</w:t>
            </w:r>
            <w:r w:rsidRPr="003C5119">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2</w:t>
            </w:r>
          </w:p>
        </w:tc>
        <w:tc>
          <w:tcPr>
            <w:tcW w:w="464" w:type="pct"/>
            <w:gridSpan w:val="6"/>
            <w:tcBorders>
              <w:top w:val="nil"/>
              <w:left w:val="nil"/>
              <w:bottom w:val="single" w:sz="4" w:space="0" w:color="auto"/>
              <w:right w:val="single" w:sz="4" w:space="0" w:color="auto"/>
            </w:tcBorders>
            <w:shd w:val="clear" w:color="auto" w:fill="auto"/>
            <w:vAlign w:val="center"/>
          </w:tcPr>
          <w:p w14:paraId="40FC6DED" w14:textId="77777777" w:rsidR="00B326C9" w:rsidRPr="00FB7D3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- 181</w:t>
            </w:r>
            <w:r w:rsidRPr="003C5119">
              <w:rPr>
                <w:rFonts w:eastAsia="Times New Roman" w:cs="Times New Roman"/>
                <w:color w:val="auto"/>
                <w:sz w:val="16"/>
                <w:szCs w:val="16"/>
                <w:bdr w:val="none" w:sz="0" w:space="0" w:color="auto"/>
                <w:lang w:eastAsia="en-GB"/>
              </w:rPr>
              <w:t xml:space="preserve"> </w:t>
            </w:r>
          </w:p>
        </w:tc>
        <w:tc>
          <w:tcPr>
            <w:tcW w:w="407" w:type="pct"/>
            <w:gridSpan w:val="2"/>
            <w:tcBorders>
              <w:top w:val="nil"/>
              <w:left w:val="nil"/>
              <w:bottom w:val="single" w:sz="4" w:space="0" w:color="auto"/>
              <w:right w:val="single" w:sz="4" w:space="0" w:color="auto"/>
            </w:tcBorders>
            <w:shd w:val="clear" w:color="auto" w:fill="auto"/>
            <w:vAlign w:val="center"/>
          </w:tcPr>
          <w:p w14:paraId="2F120061"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3C5119">
              <w:rPr>
                <w:rFonts w:eastAsia="Times New Roman" w:cs="Times New Roman"/>
                <w:color w:val="auto"/>
                <w:sz w:val="16"/>
                <w:szCs w:val="16"/>
                <w:bdr w:val="none" w:sz="0" w:space="0" w:color="auto"/>
                <w:lang w:eastAsia="en-GB"/>
              </w:rPr>
              <w:t xml:space="preserve"> 2.</w:t>
            </w:r>
            <w:r>
              <w:rPr>
                <w:rFonts w:eastAsia="Times New Roman" w:cs="Times New Roman"/>
                <w:color w:val="auto"/>
                <w:sz w:val="16"/>
                <w:szCs w:val="16"/>
                <w:bdr w:val="none" w:sz="0" w:space="0" w:color="auto"/>
                <w:lang w:eastAsia="en-GB"/>
              </w:rPr>
              <w:t>352</w:t>
            </w:r>
            <w:r w:rsidRPr="003C5119">
              <w:rPr>
                <w:rFonts w:eastAsia="Times New Roman" w:cs="Times New Roman"/>
                <w:color w:val="auto"/>
                <w:sz w:val="16"/>
                <w:szCs w:val="16"/>
                <w:bdr w:val="none" w:sz="0" w:space="0" w:color="auto"/>
                <w:lang w:eastAsia="en-GB"/>
              </w:rPr>
              <w:t xml:space="preserve"> </w:t>
            </w:r>
          </w:p>
        </w:tc>
        <w:tc>
          <w:tcPr>
            <w:tcW w:w="199" w:type="pct"/>
            <w:gridSpan w:val="2"/>
            <w:tcBorders>
              <w:top w:val="nil"/>
              <w:left w:val="nil"/>
              <w:bottom w:val="single" w:sz="4" w:space="0" w:color="auto"/>
            </w:tcBorders>
            <w:shd w:val="clear" w:color="auto" w:fill="auto"/>
            <w:vAlign w:val="center"/>
          </w:tcPr>
          <w:p w14:paraId="60A55690" w14:textId="77777777" w:rsidR="00B326C9" w:rsidRPr="00FB7D34"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35" w:right="-103"/>
              <w:jc w:val="center"/>
              <w:rPr>
                <w:sz w:val="16"/>
                <w:szCs w:val="16"/>
              </w:rPr>
            </w:pPr>
            <w:r>
              <w:rPr>
                <w:sz w:val="16"/>
                <w:szCs w:val="16"/>
              </w:rPr>
              <w:t>100</w:t>
            </w:r>
          </w:p>
        </w:tc>
      </w:tr>
      <w:tr w:rsidR="00B326C9" w:rsidRPr="00922A9B" w14:paraId="0742BA6A" w14:textId="77777777" w:rsidTr="00C56F61">
        <w:trPr>
          <w:trHeight w:val="1377"/>
        </w:trPr>
        <w:tc>
          <w:tcPr>
            <w:tcW w:w="230" w:type="pct"/>
            <w:tcBorders>
              <w:top w:val="nil"/>
              <w:left w:val="nil"/>
              <w:bottom w:val="single" w:sz="4" w:space="0" w:color="auto"/>
              <w:right w:val="single" w:sz="4" w:space="0" w:color="auto"/>
            </w:tcBorders>
            <w:shd w:val="clear" w:color="auto" w:fill="auto"/>
            <w:noWrap/>
            <w:vAlign w:val="center"/>
            <w:hideMark/>
          </w:tcPr>
          <w:p w14:paraId="31D207D6"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2</w:t>
            </w:r>
          </w:p>
        </w:tc>
        <w:tc>
          <w:tcPr>
            <w:tcW w:w="371" w:type="pct"/>
            <w:gridSpan w:val="2"/>
            <w:tcBorders>
              <w:top w:val="nil"/>
              <w:left w:val="nil"/>
              <w:bottom w:val="single" w:sz="4" w:space="0" w:color="auto"/>
              <w:right w:val="single" w:sz="4" w:space="0" w:color="auto"/>
            </w:tcBorders>
            <w:shd w:val="clear" w:color="auto" w:fill="auto"/>
            <w:vAlign w:val="center"/>
            <w:hideMark/>
          </w:tcPr>
          <w:p w14:paraId="61837921"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2014-EU-TM-0317</w:t>
            </w:r>
          </w:p>
          <w:p w14:paraId="0BCABF68" w14:textId="77777777" w:rsidR="00B326C9" w:rsidRPr="00841AD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eastAsia="en-GB"/>
              </w:rPr>
            </w:pPr>
            <w:r w:rsidRPr="00841AD8">
              <w:rPr>
                <w:rFonts w:eastAsia="Times New Roman" w:cs="Times New Roman"/>
                <w:color w:val="auto"/>
                <w:sz w:val="16"/>
                <w:szCs w:val="16"/>
                <w:bdr w:val="none" w:sz="0" w:space="0" w:color="auto"/>
                <w:lang w:eastAsia="en-GB"/>
              </w:rPr>
              <w:t>-S</w:t>
            </w:r>
          </w:p>
        </w:tc>
        <w:tc>
          <w:tcPr>
            <w:tcW w:w="587" w:type="pct"/>
            <w:gridSpan w:val="2"/>
            <w:tcBorders>
              <w:top w:val="nil"/>
              <w:left w:val="nil"/>
              <w:bottom w:val="single" w:sz="4" w:space="0" w:color="auto"/>
              <w:right w:val="single" w:sz="4" w:space="0" w:color="auto"/>
            </w:tcBorders>
            <w:shd w:val="clear" w:color="auto" w:fill="auto"/>
            <w:vAlign w:val="center"/>
            <w:hideMark/>
          </w:tcPr>
          <w:p w14:paraId="7C1DB924"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EU ITS Platform - Piattaforma Europea per l’implementa</w:t>
            </w:r>
            <w:r w:rsidR="00D477D8">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zio</w:t>
            </w:r>
            <w:r w:rsidR="00D477D8">
              <w:rPr>
                <w:rFonts w:eastAsia="Times New Roman" w:cs="Times New Roman"/>
                <w:color w:val="auto"/>
                <w:sz w:val="16"/>
                <w:szCs w:val="16"/>
                <w:bdr w:val="none" w:sz="0" w:space="0" w:color="auto"/>
                <w:lang w:eastAsia="en-GB"/>
              </w:rPr>
              <w:t>ne e l'</w:t>
            </w:r>
            <w:proofErr w:type="spellStart"/>
            <w:r w:rsidR="00D477D8">
              <w:rPr>
                <w:rFonts w:eastAsia="Times New Roman" w:cs="Times New Roman"/>
                <w:color w:val="auto"/>
                <w:sz w:val="16"/>
                <w:szCs w:val="16"/>
                <w:bdr w:val="none" w:sz="0" w:space="0" w:color="auto"/>
                <w:lang w:eastAsia="en-GB"/>
              </w:rPr>
              <w:t>armoni</w:t>
            </w:r>
            <w:r w:rsidRPr="00922A9B">
              <w:rPr>
                <w:rFonts w:eastAsia="Times New Roman" w:cs="Times New Roman"/>
                <w:color w:val="auto"/>
                <w:sz w:val="16"/>
                <w:szCs w:val="16"/>
                <w:bdr w:val="none" w:sz="0" w:space="0" w:color="auto"/>
                <w:lang w:eastAsia="en-GB"/>
              </w:rPr>
              <w:t>zzazio</w:t>
            </w:r>
            <w:proofErr w:type="spellEnd"/>
            <w:r w:rsidR="00D477D8">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dei servizi ITS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1B549B6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17DAAC0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w:t>
            </w:r>
            <w:r w:rsidRPr="00922A9B">
              <w:rPr>
                <w:rFonts w:eastAsia="Times New Roman" w:cs="Times New Roman"/>
                <w:color w:val="auto"/>
                <w:sz w:val="16"/>
                <w:szCs w:val="16"/>
                <w:bdr w:val="none" w:sz="0" w:space="0" w:color="auto"/>
                <w:lang w:val="en-GB" w:eastAsia="en-GB"/>
              </w:rPr>
              <w:t xml:space="preserve">.002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3B06CB8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1.001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0EBA05D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12.950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117E7A6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6.475 </w:t>
            </w:r>
          </w:p>
        </w:tc>
        <w:tc>
          <w:tcPr>
            <w:tcW w:w="466" w:type="pct"/>
            <w:gridSpan w:val="4"/>
            <w:tcBorders>
              <w:top w:val="nil"/>
              <w:left w:val="nil"/>
              <w:bottom w:val="single" w:sz="4" w:space="0" w:color="auto"/>
              <w:right w:val="single" w:sz="4" w:space="0" w:color="auto"/>
            </w:tcBorders>
            <w:shd w:val="clear" w:color="auto" w:fill="auto"/>
            <w:noWrap/>
            <w:vAlign w:val="center"/>
          </w:tcPr>
          <w:p w14:paraId="3C2B43F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509</w:t>
            </w:r>
          </w:p>
        </w:tc>
        <w:tc>
          <w:tcPr>
            <w:tcW w:w="283" w:type="pct"/>
            <w:gridSpan w:val="3"/>
            <w:tcBorders>
              <w:top w:val="nil"/>
              <w:left w:val="nil"/>
              <w:bottom w:val="single" w:sz="4" w:space="0" w:color="auto"/>
              <w:right w:val="single" w:sz="4" w:space="0" w:color="auto"/>
            </w:tcBorders>
            <w:shd w:val="clear" w:color="auto" w:fill="auto"/>
            <w:noWrap/>
            <w:vAlign w:val="center"/>
          </w:tcPr>
          <w:p w14:paraId="62DC616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50,9</w:t>
            </w:r>
          </w:p>
        </w:tc>
        <w:tc>
          <w:tcPr>
            <w:tcW w:w="464" w:type="pct"/>
            <w:gridSpan w:val="6"/>
            <w:tcBorders>
              <w:top w:val="nil"/>
              <w:left w:val="nil"/>
              <w:bottom w:val="single" w:sz="4" w:space="0" w:color="auto"/>
              <w:right w:val="single" w:sz="4" w:space="0" w:color="auto"/>
            </w:tcBorders>
            <w:shd w:val="clear" w:color="auto" w:fill="auto"/>
            <w:vAlign w:val="center"/>
          </w:tcPr>
          <w:p w14:paraId="3B91AF7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5F055C85" w14:textId="77777777" w:rsidR="00B326C9" w:rsidRPr="00FB7D3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3C5119">
              <w:rPr>
                <w:rFonts w:eastAsia="Times New Roman" w:cs="Times New Roman"/>
                <w:color w:val="auto"/>
                <w:sz w:val="16"/>
                <w:szCs w:val="16"/>
                <w:bdr w:val="none" w:sz="0" w:space="0" w:color="auto"/>
                <w:lang w:eastAsia="en-GB"/>
              </w:rPr>
              <w:t>1.</w:t>
            </w:r>
            <w:r>
              <w:rPr>
                <w:rFonts w:eastAsia="Times New Roman" w:cs="Times New Roman"/>
                <w:color w:val="auto"/>
                <w:sz w:val="16"/>
                <w:szCs w:val="16"/>
                <w:bdr w:val="none" w:sz="0" w:space="0" w:color="auto"/>
                <w:lang w:eastAsia="en-GB"/>
              </w:rPr>
              <w:t>243</w:t>
            </w:r>
          </w:p>
        </w:tc>
        <w:tc>
          <w:tcPr>
            <w:tcW w:w="199" w:type="pct"/>
            <w:gridSpan w:val="2"/>
            <w:tcBorders>
              <w:top w:val="nil"/>
              <w:left w:val="nil"/>
              <w:bottom w:val="single" w:sz="4" w:space="0" w:color="auto"/>
            </w:tcBorders>
            <w:shd w:val="clear" w:color="auto" w:fill="auto"/>
            <w:vAlign w:val="center"/>
          </w:tcPr>
          <w:p w14:paraId="6BBB308E"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41" w:right="-103"/>
              <w:jc w:val="center"/>
              <w:rPr>
                <w:rFonts w:eastAsia="Times New Roman" w:cs="Times New Roman"/>
                <w:color w:val="auto"/>
                <w:sz w:val="16"/>
                <w:szCs w:val="16"/>
                <w:bdr w:val="none" w:sz="0" w:space="0" w:color="auto"/>
                <w:lang w:val="en-GB" w:eastAsia="en-GB"/>
              </w:rPr>
            </w:pPr>
            <w:r>
              <w:rPr>
                <w:sz w:val="16"/>
                <w:szCs w:val="16"/>
              </w:rPr>
              <w:t>62</w:t>
            </w:r>
          </w:p>
        </w:tc>
      </w:tr>
      <w:tr w:rsidR="00B326C9" w:rsidRPr="00922A9B" w14:paraId="024D9A2C" w14:textId="77777777" w:rsidTr="00C56F61">
        <w:trPr>
          <w:trHeight w:val="286"/>
        </w:trPr>
        <w:tc>
          <w:tcPr>
            <w:tcW w:w="230" w:type="pct"/>
            <w:tcBorders>
              <w:top w:val="nil"/>
              <w:left w:val="nil"/>
              <w:bottom w:val="single" w:sz="4" w:space="0" w:color="auto"/>
              <w:right w:val="single" w:sz="4" w:space="0" w:color="auto"/>
            </w:tcBorders>
            <w:shd w:val="clear" w:color="auto" w:fill="auto"/>
            <w:noWrap/>
            <w:vAlign w:val="center"/>
            <w:hideMark/>
          </w:tcPr>
          <w:p w14:paraId="25F62DA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w:t>
            </w:r>
          </w:p>
        </w:tc>
        <w:tc>
          <w:tcPr>
            <w:tcW w:w="371" w:type="pct"/>
            <w:gridSpan w:val="2"/>
            <w:tcBorders>
              <w:top w:val="nil"/>
              <w:left w:val="nil"/>
              <w:bottom w:val="single" w:sz="4" w:space="0" w:color="auto"/>
              <w:right w:val="single" w:sz="4" w:space="0" w:color="auto"/>
            </w:tcBorders>
            <w:shd w:val="clear" w:color="auto" w:fill="auto"/>
            <w:vAlign w:val="center"/>
            <w:hideMark/>
          </w:tcPr>
          <w:p w14:paraId="70433663"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2014-EU-TM-0365</w:t>
            </w:r>
          </w:p>
          <w:p w14:paraId="5D8A6D6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2294B302"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URSA MAJOR </w:t>
            </w:r>
            <w:proofErr w:type="gramStart"/>
            <w:r w:rsidRPr="00922A9B">
              <w:rPr>
                <w:rFonts w:eastAsia="Times New Roman" w:cs="Times New Roman"/>
                <w:color w:val="auto"/>
                <w:sz w:val="16"/>
                <w:szCs w:val="16"/>
                <w:bdr w:val="none" w:sz="0" w:space="0" w:color="auto"/>
                <w:lang w:eastAsia="en-GB"/>
              </w:rPr>
              <w:t>2</w:t>
            </w:r>
            <w:r>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 xml:space="preserve"> </w:t>
            </w:r>
            <w:proofErr w:type="spellStart"/>
            <w:r>
              <w:rPr>
                <w:rFonts w:eastAsia="Times New Roman" w:cs="Times New Roman"/>
                <w:color w:val="auto"/>
                <w:sz w:val="16"/>
                <w:szCs w:val="16"/>
                <w:bdr w:val="none" w:sz="0" w:space="0" w:color="auto"/>
                <w:lang w:eastAsia="en-GB"/>
              </w:rPr>
              <w:t>I</w:t>
            </w:r>
            <w:r w:rsidRPr="00922A9B">
              <w:rPr>
                <w:rFonts w:eastAsia="Times New Roman" w:cs="Times New Roman"/>
                <w:color w:val="auto"/>
                <w:sz w:val="16"/>
                <w:szCs w:val="16"/>
                <w:bdr w:val="none" w:sz="0" w:space="0" w:color="auto"/>
                <w:lang w:eastAsia="en-GB"/>
              </w:rPr>
              <w:t>mplemen</w:t>
            </w:r>
            <w:proofErr w:type="gramEnd"/>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tazione</w:t>
            </w:r>
            <w:proofErr w:type="spellEnd"/>
            <w:r w:rsidRPr="00922A9B">
              <w:rPr>
                <w:rFonts w:eastAsia="Times New Roman" w:cs="Times New Roman"/>
                <w:color w:val="auto"/>
                <w:sz w:val="16"/>
                <w:szCs w:val="16"/>
                <w:bdr w:val="none" w:sz="0" w:space="0" w:color="auto"/>
                <w:lang w:eastAsia="en-GB"/>
              </w:rPr>
              <w:t xml:space="preserve"> dei servizi ITS per migliorare il traffico merci lungo i Corridoi Reno - Alpi e</w:t>
            </w:r>
            <w:r>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 xml:space="preserve"> Scandinavo - Mediterraneo</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3DA4275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5D86501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10.956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04BB0BC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2.191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16C0669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92.281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6E2D057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18.456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5036EF0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629 </w:t>
            </w:r>
          </w:p>
        </w:tc>
        <w:tc>
          <w:tcPr>
            <w:tcW w:w="283" w:type="pct"/>
            <w:gridSpan w:val="3"/>
            <w:tcBorders>
              <w:top w:val="nil"/>
              <w:left w:val="nil"/>
              <w:bottom w:val="single" w:sz="4" w:space="0" w:color="auto"/>
              <w:right w:val="single" w:sz="4" w:space="0" w:color="auto"/>
            </w:tcBorders>
            <w:shd w:val="clear" w:color="auto" w:fill="auto"/>
            <w:noWrap/>
            <w:vAlign w:val="center"/>
            <w:hideMark/>
          </w:tcPr>
          <w:p w14:paraId="667BFEA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sidRPr="00541407">
              <w:rPr>
                <w:rFonts w:eastAsia="Times New Roman" w:cs="Times New Roman"/>
                <w:color w:val="auto"/>
                <w:sz w:val="16"/>
                <w:szCs w:val="16"/>
                <w:bdr w:val="none" w:sz="0" w:space="0" w:color="auto"/>
                <w:lang w:val="en-GB" w:eastAsia="en-GB"/>
              </w:rPr>
              <w:t>28,7</w:t>
            </w:r>
          </w:p>
        </w:tc>
        <w:tc>
          <w:tcPr>
            <w:tcW w:w="464" w:type="pct"/>
            <w:gridSpan w:val="6"/>
            <w:tcBorders>
              <w:top w:val="nil"/>
              <w:left w:val="nil"/>
              <w:bottom w:val="single" w:sz="4" w:space="0" w:color="auto"/>
              <w:right w:val="single" w:sz="4" w:space="0" w:color="auto"/>
            </w:tcBorders>
            <w:shd w:val="clear" w:color="auto" w:fill="auto"/>
            <w:vAlign w:val="center"/>
            <w:hideMark/>
          </w:tcPr>
          <w:p w14:paraId="3DE5788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274EAD4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7.951</w:t>
            </w:r>
          </w:p>
        </w:tc>
        <w:tc>
          <w:tcPr>
            <w:tcW w:w="199" w:type="pct"/>
            <w:gridSpan w:val="2"/>
            <w:tcBorders>
              <w:top w:val="nil"/>
              <w:left w:val="nil"/>
              <w:bottom w:val="single" w:sz="4" w:space="0" w:color="auto"/>
            </w:tcBorders>
            <w:shd w:val="clear" w:color="auto" w:fill="auto"/>
            <w:vAlign w:val="center"/>
          </w:tcPr>
          <w:p w14:paraId="105AB139"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41"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82</w:t>
            </w:r>
          </w:p>
        </w:tc>
      </w:tr>
      <w:tr w:rsidR="00B326C9" w:rsidRPr="00922A9B" w14:paraId="706A98D9" w14:textId="77777777" w:rsidTr="00C56F61">
        <w:trPr>
          <w:trHeight w:val="853"/>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762041E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4</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4E8C41E9"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2014-EU-TM-0563</w:t>
            </w:r>
          </w:p>
          <w:p w14:paraId="75C96B1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4B1D932A"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CROCODILE 2- </w:t>
            </w:r>
            <w:r w:rsidR="00400222">
              <w:rPr>
                <w:rFonts w:eastAsia="Times New Roman" w:cs="Times New Roman"/>
                <w:color w:val="auto"/>
                <w:sz w:val="16"/>
                <w:szCs w:val="16"/>
                <w:bdr w:val="none" w:sz="0" w:space="0" w:color="auto"/>
                <w:lang w:eastAsia="en-GB"/>
              </w:rPr>
              <w:t>I</w:t>
            </w:r>
            <w:r w:rsidRPr="00922A9B">
              <w:rPr>
                <w:rFonts w:eastAsia="Times New Roman" w:cs="Times New Roman"/>
                <w:color w:val="auto"/>
                <w:sz w:val="16"/>
                <w:szCs w:val="16"/>
                <w:bdr w:val="none" w:sz="0" w:space="0" w:color="auto"/>
                <w:lang w:eastAsia="en-GB"/>
              </w:rPr>
              <w:t>mplementa</w:t>
            </w:r>
            <w:r w:rsidR="00400222">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zione di sistemi ITS per miglio</w:t>
            </w:r>
            <w:r w:rsidR="00400222">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rare il traffico e il trasporto transfrontaliero nei Corridoi Baltico-Adria</w:t>
            </w:r>
            <w:r w:rsidR="00400222">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tico</w:t>
            </w:r>
            <w:proofErr w:type="spellEnd"/>
            <w:r w:rsidRPr="00922A9B">
              <w:rPr>
                <w:rFonts w:eastAsia="Times New Roman" w:cs="Times New Roman"/>
                <w:color w:val="auto"/>
                <w:sz w:val="16"/>
                <w:szCs w:val="16"/>
                <w:bdr w:val="none" w:sz="0" w:space="0" w:color="auto"/>
                <w:lang w:eastAsia="en-GB"/>
              </w:rPr>
              <w:t xml:space="preserve">, MED, </w:t>
            </w:r>
            <w:proofErr w:type="spellStart"/>
            <w:r w:rsidRPr="00922A9B">
              <w:rPr>
                <w:rFonts w:eastAsia="Times New Roman" w:cs="Times New Roman"/>
                <w:color w:val="auto"/>
                <w:sz w:val="16"/>
                <w:szCs w:val="16"/>
                <w:bdr w:val="none" w:sz="0" w:space="0" w:color="auto"/>
                <w:lang w:eastAsia="en-GB"/>
              </w:rPr>
              <w:t>Or</w:t>
            </w:r>
            <w:r w:rsidR="00D477D8">
              <w:rPr>
                <w:rFonts w:eastAsia="Times New Roman" w:cs="Times New Roman"/>
                <w:color w:val="auto"/>
                <w:sz w:val="16"/>
                <w:szCs w:val="16"/>
                <w:bdr w:val="none" w:sz="0" w:space="0" w:color="auto"/>
                <w:lang w:eastAsia="en-GB"/>
              </w:rPr>
              <w:t>ient</w:t>
            </w:r>
            <w:proofErr w:type="spellEnd"/>
            <w:r w:rsidRPr="00922A9B">
              <w:rPr>
                <w:rFonts w:eastAsia="Times New Roman" w:cs="Times New Roman"/>
                <w:color w:val="auto"/>
                <w:sz w:val="16"/>
                <w:szCs w:val="16"/>
                <w:bdr w:val="none" w:sz="0" w:space="0" w:color="auto"/>
                <w:lang w:eastAsia="en-GB"/>
              </w:rPr>
              <w:t>-Est-</w:t>
            </w:r>
            <w:proofErr w:type="spellStart"/>
            <w:r w:rsidRPr="00922A9B">
              <w:rPr>
                <w:rFonts w:eastAsia="Times New Roman" w:cs="Times New Roman"/>
                <w:color w:val="auto"/>
                <w:sz w:val="16"/>
                <w:szCs w:val="16"/>
                <w:bdr w:val="none" w:sz="0" w:space="0" w:color="auto"/>
                <w:lang w:eastAsia="en-GB"/>
              </w:rPr>
              <w:t>Med</w:t>
            </w:r>
            <w:proofErr w:type="spellEnd"/>
            <w:r w:rsidR="00400222">
              <w:rPr>
                <w:rFonts w:eastAsia="Times New Roman" w:cs="Times New Roman"/>
                <w:color w:val="auto"/>
                <w:sz w:val="16"/>
                <w:szCs w:val="16"/>
                <w:bdr w:val="none" w:sz="0" w:space="0" w:color="auto"/>
                <w:lang w:eastAsia="en-GB"/>
              </w:rPr>
              <w:t xml:space="preserve"> e</w:t>
            </w:r>
            <w:r w:rsidRPr="00922A9B">
              <w:rPr>
                <w:rFonts w:eastAsia="Times New Roman" w:cs="Times New Roman"/>
                <w:color w:val="auto"/>
                <w:sz w:val="16"/>
                <w:szCs w:val="16"/>
                <w:bdr w:val="none" w:sz="0" w:space="0" w:color="auto"/>
                <w:lang w:eastAsia="en-GB"/>
              </w:rPr>
              <w:t xml:space="preserve"> Reno-Danubio</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48A3956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31/12/19</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46A6DCB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3.490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0A6E4BF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 698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64593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41.285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58C00FD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8.257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5B2D6C8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574</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78AA19D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82,2</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30AE24E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23CB471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2.967</w:t>
            </w:r>
            <w:r w:rsidRPr="003C5119">
              <w:rPr>
                <w:rFonts w:eastAsia="Times New Roman" w:cs="Times New Roman"/>
                <w:color w:val="auto"/>
                <w:sz w:val="16"/>
                <w:szCs w:val="16"/>
                <w:bdr w:val="none" w:sz="0" w:space="0" w:color="auto"/>
                <w:lang w:eastAsia="en-GB"/>
              </w:rPr>
              <w:t xml:space="preserve"> </w:t>
            </w:r>
          </w:p>
        </w:tc>
        <w:tc>
          <w:tcPr>
            <w:tcW w:w="199" w:type="pct"/>
            <w:gridSpan w:val="2"/>
            <w:tcBorders>
              <w:top w:val="single" w:sz="4" w:space="0" w:color="auto"/>
              <w:left w:val="nil"/>
              <w:bottom w:val="single" w:sz="4" w:space="0" w:color="auto"/>
            </w:tcBorders>
            <w:shd w:val="clear" w:color="auto" w:fill="auto"/>
            <w:vAlign w:val="center"/>
          </w:tcPr>
          <w:p w14:paraId="48729FD5"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41" w:right="-103"/>
              <w:jc w:val="center"/>
              <w:rPr>
                <w:rFonts w:eastAsia="Times New Roman" w:cs="Times New Roman"/>
                <w:color w:val="auto"/>
                <w:sz w:val="16"/>
                <w:szCs w:val="16"/>
                <w:bdr w:val="none" w:sz="0" w:space="0" w:color="auto"/>
                <w:lang w:val="en-GB" w:eastAsia="en-GB"/>
              </w:rPr>
            </w:pPr>
            <w:r>
              <w:rPr>
                <w:sz w:val="16"/>
                <w:szCs w:val="16"/>
              </w:rPr>
              <w:t>100</w:t>
            </w:r>
          </w:p>
        </w:tc>
      </w:tr>
      <w:tr w:rsidR="00B326C9" w:rsidRPr="00922A9B" w14:paraId="6C6B7AB5"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4476C14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5</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1AE2AC93"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2014-EU-TM-0579</w:t>
            </w:r>
          </w:p>
          <w:p w14:paraId="050331B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r w:rsidRPr="00041D47">
              <w:rPr>
                <w:rFonts w:eastAsia="Times New Roman" w:cs="Times New Roman"/>
                <w:color w:val="auto"/>
                <w:sz w:val="16"/>
                <w:szCs w:val="16"/>
                <w:bdr w:val="none" w:sz="0" w:space="0" w:color="auto"/>
                <w:vertAlign w:val="superscript"/>
                <w:lang w:val="en-GB" w:eastAsia="en-GB"/>
              </w:rPr>
              <w:t>13</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6696D055"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UNIT-E - </w:t>
            </w:r>
            <w:r w:rsidRPr="00440560">
              <w:rPr>
                <w:rFonts w:eastAsia="Times New Roman" w:cs="Times New Roman"/>
                <w:color w:val="auto"/>
                <w:sz w:val="16"/>
                <w:szCs w:val="16"/>
                <w:bdr w:val="none" w:sz="0" w:space="0" w:color="auto"/>
                <w:lang w:eastAsia="en-GB"/>
              </w:rPr>
              <w:t xml:space="preserve">sviluppo di </w:t>
            </w:r>
            <w:r>
              <w:rPr>
                <w:rFonts w:eastAsia="Times New Roman" w:cs="Times New Roman"/>
                <w:color w:val="auto"/>
                <w:sz w:val="16"/>
                <w:szCs w:val="16"/>
                <w:bdr w:val="none" w:sz="0" w:space="0" w:color="auto"/>
                <w:lang w:eastAsia="en-GB"/>
              </w:rPr>
              <w:t xml:space="preserve">38 </w:t>
            </w:r>
            <w:r w:rsidRPr="00440560">
              <w:rPr>
                <w:rFonts w:eastAsia="Times New Roman" w:cs="Times New Roman"/>
                <w:color w:val="auto"/>
                <w:sz w:val="16"/>
                <w:szCs w:val="16"/>
                <w:bdr w:val="none" w:sz="0" w:space="0" w:color="auto"/>
                <w:lang w:eastAsia="en-GB"/>
              </w:rPr>
              <w:t>stazioni di</w:t>
            </w:r>
            <w:r>
              <w:rPr>
                <w:rFonts w:eastAsia="Times New Roman" w:cs="Times New Roman"/>
                <w:color w:val="auto"/>
                <w:sz w:val="16"/>
                <w:szCs w:val="16"/>
                <w:bdr w:val="none" w:sz="0" w:space="0" w:color="auto"/>
                <w:lang w:eastAsia="en-GB"/>
              </w:rPr>
              <w:t xml:space="preserve"> ricarica elettriche veloci ed </w:t>
            </w:r>
            <w:r w:rsidRPr="00440560">
              <w:rPr>
                <w:rFonts w:eastAsia="Times New Roman" w:cs="Times New Roman"/>
                <w:color w:val="auto"/>
                <w:sz w:val="16"/>
                <w:szCs w:val="16"/>
                <w:bdr w:val="none" w:sz="0" w:space="0" w:color="auto"/>
                <w:lang w:eastAsia="en-GB"/>
              </w:rPr>
              <w:t xml:space="preserve">interoperabili </w:t>
            </w:r>
            <w:proofErr w:type="gramStart"/>
            <w:r w:rsidRPr="00440560">
              <w:rPr>
                <w:rFonts w:eastAsia="Times New Roman" w:cs="Times New Roman"/>
                <w:color w:val="auto"/>
                <w:sz w:val="16"/>
                <w:szCs w:val="16"/>
                <w:bdr w:val="none" w:sz="0" w:space="0" w:color="auto"/>
                <w:lang w:eastAsia="en-GB"/>
              </w:rPr>
              <w:lastRenderedPageBreak/>
              <w:t>per  i</w:t>
            </w:r>
            <w:proofErr w:type="gramEnd"/>
            <w:r w:rsidRPr="00440560">
              <w:rPr>
                <w:rFonts w:eastAsia="Times New Roman" w:cs="Times New Roman"/>
                <w:color w:val="auto"/>
                <w:sz w:val="16"/>
                <w:szCs w:val="16"/>
                <w:bdr w:val="none" w:sz="0" w:space="0" w:color="auto"/>
                <w:lang w:eastAsia="en-GB"/>
              </w:rPr>
              <w:t xml:space="preserve"> servizi di mobilità intra-</w:t>
            </w:r>
            <w:r>
              <w:rPr>
                <w:rFonts w:eastAsia="Times New Roman" w:cs="Times New Roman"/>
                <w:color w:val="auto"/>
                <w:sz w:val="16"/>
                <w:szCs w:val="16"/>
                <w:bdr w:val="none" w:sz="0" w:space="0" w:color="auto"/>
                <w:lang w:eastAsia="en-GB"/>
              </w:rPr>
              <w:t>europei lungo l’asse UK-Genova di cui 5 in Italia.</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42C3361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lastRenderedPageBreak/>
              <w:t>30/06/18</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tcPr>
          <w:p w14:paraId="55FE780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731</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tcPr>
          <w:p w14:paraId="1E4E96E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34</w:t>
            </w:r>
            <w:r>
              <w:rPr>
                <w:rFonts w:eastAsia="Times New Roman" w:cs="Times New Roman"/>
                <w:color w:val="auto"/>
                <w:sz w:val="16"/>
                <w:szCs w:val="16"/>
                <w:bdr w:val="none" w:sz="0" w:space="0" w:color="auto"/>
                <w:lang w:val="en-GB" w:eastAsia="en-GB"/>
              </w:rPr>
              <w:t>2</w:t>
            </w:r>
            <w:r w:rsidRPr="00922A9B">
              <w:rPr>
                <w:rFonts w:eastAsia="Times New Roman" w:cs="Times New Roman"/>
                <w:color w:val="auto"/>
                <w:sz w:val="16"/>
                <w:szCs w:val="16"/>
                <w:bdr w:val="none" w:sz="0" w:space="0" w:color="auto"/>
                <w:lang w:val="en-GB" w:eastAsia="en-GB"/>
              </w:rPr>
              <w:t xml:space="preserve">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tcPr>
          <w:p w14:paraId="4800F6C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w:t>
            </w:r>
            <w:r>
              <w:rPr>
                <w:rFonts w:eastAsia="Times New Roman" w:cs="Times New Roman"/>
                <w:color w:val="auto"/>
                <w:sz w:val="16"/>
                <w:szCs w:val="16"/>
                <w:bdr w:val="none" w:sz="0" w:space="0" w:color="auto"/>
                <w:lang w:val="en-GB" w:eastAsia="en-GB"/>
              </w:rPr>
              <w:t>447</w:t>
            </w:r>
            <w:r w:rsidRPr="00922A9B">
              <w:rPr>
                <w:rFonts w:eastAsia="Times New Roman" w:cs="Times New Roman"/>
                <w:color w:val="auto"/>
                <w:sz w:val="16"/>
                <w:szCs w:val="16"/>
                <w:bdr w:val="none" w:sz="0" w:space="0" w:color="auto"/>
                <w:lang w:val="en-GB" w:eastAsia="en-GB"/>
              </w:rPr>
              <w:t xml:space="preserve">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tcPr>
          <w:p w14:paraId="6807698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1.7</w:t>
            </w:r>
            <w:r>
              <w:rPr>
                <w:rFonts w:eastAsia="Times New Roman" w:cs="Times New Roman"/>
                <w:color w:val="auto"/>
                <w:sz w:val="16"/>
                <w:szCs w:val="16"/>
                <w:bdr w:val="none" w:sz="0" w:space="0" w:color="auto"/>
                <w:lang w:val="en-GB" w:eastAsia="en-GB"/>
              </w:rPr>
              <w:t>33</w:t>
            </w:r>
            <w:r w:rsidRPr="00922A9B">
              <w:rPr>
                <w:rFonts w:eastAsia="Times New Roman" w:cs="Times New Roman"/>
                <w:color w:val="auto"/>
                <w:sz w:val="16"/>
                <w:szCs w:val="16"/>
                <w:bdr w:val="none" w:sz="0" w:space="0" w:color="auto"/>
                <w:lang w:val="en-GB" w:eastAsia="en-GB"/>
              </w:rPr>
              <w:t xml:space="preserve">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7F69812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354</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0D8D2FE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103,4</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7C729BE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F446F">
              <w:rPr>
                <w:rFonts w:eastAsia="Times New Roman" w:cs="Times New Roman"/>
                <w:color w:val="auto"/>
                <w:sz w:val="16"/>
                <w:szCs w:val="16"/>
                <w:bdr w:val="none" w:sz="0" w:space="0" w:color="auto"/>
                <w:lang w:val="en-GB" w:eastAsia="en-GB"/>
              </w:rPr>
              <w:t>-</w:t>
            </w:r>
            <w:r w:rsidRPr="003578AF">
              <w:rPr>
                <w:rFonts w:eastAsia="Times New Roman" w:cs="Times New Roman"/>
                <w:color w:val="auto"/>
                <w:sz w:val="16"/>
                <w:szCs w:val="16"/>
                <w:bdr w:val="none" w:sz="0" w:space="0" w:color="auto"/>
                <w:lang w:val="en-GB" w:eastAsia="en-GB"/>
              </w:rPr>
              <w:t xml:space="preserve">  2</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53D3227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7</w:t>
            </w:r>
            <w:r>
              <w:rPr>
                <w:rFonts w:eastAsia="Times New Roman" w:cs="Times New Roman"/>
                <w:color w:val="auto"/>
                <w:sz w:val="16"/>
                <w:szCs w:val="16"/>
                <w:bdr w:val="none" w:sz="0" w:space="0" w:color="auto"/>
                <w:lang w:val="en-GB" w:eastAsia="en-GB"/>
              </w:rPr>
              <w:t>43</w:t>
            </w:r>
            <w:r w:rsidRPr="00922A9B">
              <w:rPr>
                <w:rFonts w:eastAsia="Times New Roman" w:cs="Times New Roman"/>
                <w:color w:val="auto"/>
                <w:sz w:val="16"/>
                <w:szCs w:val="16"/>
                <w:bdr w:val="none" w:sz="0" w:space="0" w:color="auto"/>
                <w:lang w:val="en-GB" w:eastAsia="en-GB"/>
              </w:rPr>
              <w:t xml:space="preserve"> </w:t>
            </w:r>
          </w:p>
        </w:tc>
        <w:tc>
          <w:tcPr>
            <w:tcW w:w="199" w:type="pct"/>
            <w:gridSpan w:val="2"/>
            <w:tcBorders>
              <w:top w:val="single" w:sz="4" w:space="0" w:color="auto"/>
              <w:left w:val="nil"/>
              <w:bottom w:val="single" w:sz="4" w:space="0" w:color="auto"/>
            </w:tcBorders>
            <w:shd w:val="clear" w:color="auto" w:fill="auto"/>
            <w:vAlign w:val="center"/>
          </w:tcPr>
          <w:p w14:paraId="65DD0DE8" w14:textId="77777777" w:rsidR="00B326C9" w:rsidRPr="00FB7D34"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35" w:right="-103"/>
              <w:jc w:val="center"/>
              <w:rPr>
                <w:sz w:val="16"/>
                <w:szCs w:val="16"/>
              </w:rPr>
            </w:pPr>
            <w:r>
              <w:rPr>
                <w:sz w:val="16"/>
                <w:szCs w:val="16"/>
              </w:rPr>
              <w:t>100</w:t>
            </w:r>
          </w:p>
        </w:tc>
      </w:tr>
      <w:tr w:rsidR="00B326C9" w:rsidRPr="00922A9B" w14:paraId="7DC94B57"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hideMark/>
          </w:tcPr>
          <w:p w14:paraId="724F748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6</w:t>
            </w:r>
          </w:p>
        </w:tc>
        <w:tc>
          <w:tcPr>
            <w:tcW w:w="371" w:type="pct"/>
            <w:gridSpan w:val="2"/>
            <w:tcBorders>
              <w:top w:val="nil"/>
              <w:left w:val="nil"/>
              <w:bottom w:val="single" w:sz="4" w:space="0" w:color="auto"/>
              <w:right w:val="single" w:sz="4" w:space="0" w:color="auto"/>
            </w:tcBorders>
            <w:shd w:val="clear" w:color="auto" w:fill="auto"/>
            <w:vAlign w:val="center"/>
            <w:hideMark/>
          </w:tcPr>
          <w:p w14:paraId="6D35515A"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2014-EU-TM-0588</w:t>
            </w:r>
          </w:p>
          <w:p w14:paraId="317ED77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6A1CCE1D"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MedTIS</w:t>
            </w:r>
            <w:proofErr w:type="spellEnd"/>
            <w:r w:rsidRPr="00922A9B">
              <w:rPr>
                <w:rFonts w:eastAsia="Times New Roman" w:cs="Times New Roman"/>
                <w:color w:val="auto"/>
                <w:sz w:val="16"/>
                <w:szCs w:val="16"/>
                <w:bdr w:val="none" w:sz="0" w:space="0" w:color="auto"/>
                <w:lang w:eastAsia="en-GB"/>
              </w:rPr>
              <w:t xml:space="preserve"> II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Implementazio</w:t>
            </w:r>
            <w:proofErr w:type="spellEnd"/>
            <w:r>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dei servizi ITS per la gestione del traffico lungo il Corridoio Mediterraneo</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6E1C1F3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31/12/18</w:t>
            </w:r>
          </w:p>
        </w:tc>
        <w:tc>
          <w:tcPr>
            <w:tcW w:w="445" w:type="pct"/>
            <w:gridSpan w:val="3"/>
            <w:tcBorders>
              <w:top w:val="nil"/>
              <w:left w:val="nil"/>
              <w:bottom w:val="single" w:sz="4" w:space="0" w:color="auto"/>
              <w:right w:val="single" w:sz="4" w:space="0" w:color="auto"/>
            </w:tcBorders>
            <w:shd w:val="clear" w:color="auto" w:fill="auto"/>
            <w:noWrap/>
            <w:vAlign w:val="center"/>
          </w:tcPr>
          <w:p w14:paraId="47E6D51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27.</w:t>
            </w:r>
            <w:r>
              <w:rPr>
                <w:rFonts w:eastAsia="Times New Roman" w:cs="Times New Roman"/>
                <w:color w:val="auto"/>
                <w:sz w:val="16"/>
                <w:szCs w:val="16"/>
                <w:bdr w:val="none" w:sz="0" w:space="0" w:color="auto"/>
                <w:lang w:val="en-GB" w:eastAsia="en-GB"/>
              </w:rPr>
              <w:t>305</w:t>
            </w:r>
            <w:r w:rsidRPr="00922A9B">
              <w:rPr>
                <w:rFonts w:eastAsia="Times New Roman" w:cs="Times New Roman"/>
                <w:color w:val="auto"/>
                <w:sz w:val="16"/>
                <w:szCs w:val="16"/>
                <w:bdr w:val="none" w:sz="0" w:space="0" w:color="auto"/>
                <w:lang w:val="en-GB" w:eastAsia="en-GB"/>
              </w:rPr>
              <w:t xml:space="preserve"> </w:t>
            </w:r>
          </w:p>
        </w:tc>
        <w:tc>
          <w:tcPr>
            <w:tcW w:w="420" w:type="pct"/>
            <w:gridSpan w:val="2"/>
            <w:tcBorders>
              <w:top w:val="nil"/>
              <w:left w:val="nil"/>
              <w:bottom w:val="single" w:sz="4" w:space="0" w:color="auto"/>
              <w:right w:val="single" w:sz="4" w:space="0" w:color="auto"/>
            </w:tcBorders>
            <w:shd w:val="clear" w:color="auto" w:fill="auto"/>
            <w:noWrap/>
            <w:vAlign w:val="center"/>
          </w:tcPr>
          <w:p w14:paraId="7D8A28F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5.</w:t>
            </w:r>
            <w:r>
              <w:rPr>
                <w:rFonts w:eastAsia="Times New Roman" w:cs="Times New Roman"/>
                <w:color w:val="auto"/>
                <w:sz w:val="16"/>
                <w:szCs w:val="16"/>
                <w:bdr w:val="none" w:sz="0" w:space="0" w:color="auto"/>
                <w:lang w:val="en-GB" w:eastAsia="en-GB"/>
              </w:rPr>
              <w:t>461</w:t>
            </w:r>
            <w:r w:rsidRPr="00922A9B">
              <w:rPr>
                <w:rFonts w:eastAsia="Times New Roman" w:cs="Times New Roman"/>
                <w:color w:val="auto"/>
                <w:sz w:val="16"/>
                <w:szCs w:val="16"/>
                <w:bdr w:val="none" w:sz="0" w:space="0" w:color="auto"/>
                <w:lang w:val="en-GB" w:eastAsia="en-GB"/>
              </w:rPr>
              <w:t xml:space="preserve"> </w:t>
            </w:r>
          </w:p>
        </w:tc>
        <w:tc>
          <w:tcPr>
            <w:tcW w:w="452" w:type="pct"/>
            <w:gridSpan w:val="3"/>
            <w:tcBorders>
              <w:top w:val="nil"/>
              <w:left w:val="nil"/>
              <w:bottom w:val="single" w:sz="4" w:space="0" w:color="auto"/>
              <w:right w:val="single" w:sz="4" w:space="0" w:color="auto"/>
            </w:tcBorders>
            <w:shd w:val="clear" w:color="auto" w:fill="auto"/>
            <w:noWrap/>
            <w:vAlign w:val="center"/>
          </w:tcPr>
          <w:p w14:paraId="3852D33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BC4216">
              <w:rPr>
                <w:rFonts w:eastAsia="Times New Roman" w:cs="Times New Roman"/>
                <w:color w:val="auto"/>
                <w:sz w:val="16"/>
                <w:szCs w:val="16"/>
                <w:bdr w:val="none" w:sz="0" w:space="0" w:color="auto"/>
                <w:lang w:eastAsia="en-GB"/>
              </w:rPr>
              <w:t>52.</w:t>
            </w:r>
            <w:r>
              <w:rPr>
                <w:rFonts w:eastAsia="Times New Roman" w:cs="Times New Roman"/>
                <w:color w:val="auto"/>
                <w:sz w:val="16"/>
                <w:szCs w:val="16"/>
                <w:bdr w:val="none" w:sz="0" w:space="0" w:color="auto"/>
                <w:lang w:eastAsia="en-GB"/>
              </w:rPr>
              <w:t>517</w:t>
            </w:r>
            <w:r w:rsidRPr="00BC4216">
              <w:rPr>
                <w:rFonts w:eastAsia="Times New Roman" w:cs="Times New Roman"/>
                <w:color w:val="auto"/>
                <w:sz w:val="16"/>
                <w:szCs w:val="16"/>
                <w:bdr w:val="none" w:sz="0" w:space="0" w:color="auto"/>
                <w:lang w:eastAsia="en-GB"/>
              </w:rPr>
              <w:t xml:space="preserve"> </w:t>
            </w:r>
          </w:p>
        </w:tc>
        <w:tc>
          <w:tcPr>
            <w:tcW w:w="456" w:type="pct"/>
            <w:gridSpan w:val="5"/>
            <w:tcBorders>
              <w:top w:val="nil"/>
              <w:left w:val="nil"/>
              <w:bottom w:val="single" w:sz="4" w:space="0" w:color="auto"/>
              <w:right w:val="single" w:sz="4" w:space="0" w:color="auto"/>
            </w:tcBorders>
            <w:shd w:val="clear" w:color="auto" w:fill="auto"/>
            <w:noWrap/>
            <w:vAlign w:val="center"/>
          </w:tcPr>
          <w:p w14:paraId="5C7CC6A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10.503</w:t>
            </w:r>
            <w:r w:rsidRPr="00BC4216">
              <w:rPr>
                <w:rFonts w:eastAsia="Times New Roman" w:cs="Times New Roman"/>
                <w:color w:val="auto"/>
                <w:sz w:val="16"/>
                <w:szCs w:val="16"/>
                <w:bdr w:val="none" w:sz="0" w:space="0" w:color="auto"/>
                <w:lang w:eastAsia="en-GB"/>
              </w:rPr>
              <w:t xml:space="preserve">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39DDFC4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3.528 </w:t>
            </w:r>
          </w:p>
        </w:tc>
        <w:tc>
          <w:tcPr>
            <w:tcW w:w="283" w:type="pct"/>
            <w:gridSpan w:val="3"/>
            <w:tcBorders>
              <w:top w:val="nil"/>
              <w:left w:val="nil"/>
              <w:bottom w:val="single" w:sz="4" w:space="0" w:color="auto"/>
              <w:right w:val="single" w:sz="4" w:space="0" w:color="auto"/>
            </w:tcBorders>
            <w:shd w:val="clear" w:color="auto" w:fill="auto"/>
            <w:noWrap/>
            <w:vAlign w:val="center"/>
            <w:hideMark/>
          </w:tcPr>
          <w:p w14:paraId="142473E2"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sidRPr="009925FA">
              <w:rPr>
                <w:rFonts w:eastAsia="Times New Roman" w:cs="Times New Roman"/>
                <w:color w:val="auto"/>
                <w:sz w:val="16"/>
                <w:szCs w:val="16"/>
                <w:bdr w:val="none" w:sz="0" w:space="0" w:color="auto"/>
                <w:lang w:val="en-GB" w:eastAsia="en-GB"/>
              </w:rPr>
              <w:t>64,6</w:t>
            </w:r>
          </w:p>
        </w:tc>
        <w:tc>
          <w:tcPr>
            <w:tcW w:w="464" w:type="pct"/>
            <w:gridSpan w:val="6"/>
            <w:tcBorders>
              <w:top w:val="nil"/>
              <w:left w:val="nil"/>
              <w:bottom w:val="single" w:sz="4" w:space="0" w:color="auto"/>
              <w:right w:val="single" w:sz="4" w:space="0" w:color="auto"/>
            </w:tcBorders>
            <w:shd w:val="clear" w:color="auto" w:fill="auto"/>
            <w:vAlign w:val="center"/>
            <w:hideMark/>
          </w:tcPr>
          <w:p w14:paraId="557E662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- 58 </w:t>
            </w:r>
          </w:p>
        </w:tc>
        <w:tc>
          <w:tcPr>
            <w:tcW w:w="407" w:type="pct"/>
            <w:gridSpan w:val="2"/>
            <w:tcBorders>
              <w:top w:val="nil"/>
              <w:left w:val="nil"/>
              <w:bottom w:val="single" w:sz="4" w:space="0" w:color="auto"/>
              <w:right w:val="single" w:sz="4" w:space="0" w:color="auto"/>
            </w:tcBorders>
            <w:shd w:val="clear" w:color="auto" w:fill="auto"/>
            <w:vAlign w:val="center"/>
            <w:hideMark/>
          </w:tcPr>
          <w:p w14:paraId="6D21400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925FA">
              <w:rPr>
                <w:rFonts w:eastAsia="Times New Roman" w:cs="Times New Roman"/>
                <w:color w:val="auto"/>
                <w:sz w:val="16"/>
                <w:szCs w:val="16"/>
                <w:bdr w:val="none" w:sz="0" w:space="0" w:color="auto"/>
                <w:lang w:val="en-GB" w:eastAsia="en-GB"/>
              </w:rPr>
              <w:t xml:space="preserve">18.618 </w:t>
            </w:r>
          </w:p>
        </w:tc>
        <w:tc>
          <w:tcPr>
            <w:tcW w:w="199" w:type="pct"/>
            <w:gridSpan w:val="2"/>
            <w:tcBorders>
              <w:top w:val="nil"/>
              <w:left w:val="nil"/>
              <w:bottom w:val="single" w:sz="4" w:space="0" w:color="auto"/>
            </w:tcBorders>
            <w:shd w:val="clear" w:color="auto" w:fill="auto"/>
            <w:vAlign w:val="center"/>
            <w:hideMark/>
          </w:tcPr>
          <w:p w14:paraId="2FA23B4A"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35" w:right="-103"/>
              <w:jc w:val="center"/>
              <w:rPr>
                <w:rFonts w:eastAsia="Times New Roman" w:cs="Times New Roman"/>
                <w:color w:val="auto"/>
                <w:sz w:val="16"/>
                <w:szCs w:val="16"/>
                <w:bdr w:val="none" w:sz="0" w:space="0" w:color="auto"/>
                <w:lang w:val="en-GB" w:eastAsia="en-GB"/>
              </w:rPr>
            </w:pPr>
            <w:r>
              <w:rPr>
                <w:sz w:val="16"/>
                <w:szCs w:val="16"/>
              </w:rPr>
              <w:t>100</w:t>
            </w:r>
          </w:p>
        </w:tc>
      </w:tr>
      <w:tr w:rsidR="00B326C9" w:rsidRPr="00922A9B" w14:paraId="6EBA3ADD" w14:textId="77777777" w:rsidTr="00C56F61">
        <w:trPr>
          <w:trHeight w:val="414"/>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2E5C310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7</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D2C805"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2014-EU-TM-0630</w:t>
            </w:r>
          </w:p>
          <w:p w14:paraId="2E502AC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86E326" w14:textId="77777777" w:rsidR="00B326C9" w:rsidRPr="00B70F83" w:rsidRDefault="00B326C9"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Connect2LNG -Studio con azione pilota per una rete di rifornimento </w:t>
            </w:r>
            <w:r w:rsidR="002D4FDD">
              <w:rPr>
                <w:rFonts w:eastAsia="Times New Roman" w:cs="Times New Roman"/>
                <w:color w:val="auto"/>
                <w:sz w:val="16"/>
                <w:szCs w:val="16"/>
                <w:bdr w:val="none" w:sz="0" w:space="0" w:color="auto"/>
                <w:lang w:eastAsia="en-GB"/>
              </w:rPr>
              <w:t>GNL</w:t>
            </w:r>
            <w:r w:rsidRPr="00922A9B">
              <w:rPr>
                <w:rFonts w:eastAsia="Times New Roman" w:cs="Times New Roman"/>
                <w:color w:val="auto"/>
                <w:sz w:val="16"/>
                <w:szCs w:val="16"/>
                <w:bdr w:val="none" w:sz="0" w:space="0" w:color="auto"/>
                <w:lang w:eastAsia="en-GB"/>
              </w:rPr>
              <w:t xml:space="preserve"> (5 stazioni) per trasporto merci su </w:t>
            </w:r>
            <w:proofErr w:type="gramStart"/>
            <w:r w:rsidRPr="00922A9B">
              <w:rPr>
                <w:rFonts w:eastAsia="Times New Roman" w:cs="Times New Roman"/>
                <w:color w:val="auto"/>
                <w:sz w:val="16"/>
                <w:szCs w:val="16"/>
                <w:bdr w:val="none" w:sz="0" w:space="0" w:color="auto"/>
                <w:lang w:eastAsia="en-GB"/>
              </w:rPr>
              <w:t xml:space="preserve">strada </w:t>
            </w:r>
            <w:r w:rsidR="00AF3C37">
              <w:rPr>
                <w:rFonts w:eastAsia="Times New Roman" w:cs="Times New Roman"/>
                <w:color w:val="auto"/>
                <w:sz w:val="16"/>
                <w:szCs w:val="16"/>
                <w:bdr w:val="none" w:sz="0" w:space="0" w:color="auto"/>
                <w:lang w:eastAsia="en-GB"/>
              </w:rPr>
              <w:t xml:space="preserve"> di</w:t>
            </w:r>
            <w:proofErr w:type="gramEnd"/>
            <w:r w:rsidR="00AF3C37">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medio-lungo raggio.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5C4F92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6360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875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3E95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438 </w:t>
            </w:r>
          </w:p>
        </w:tc>
        <w:tc>
          <w:tcPr>
            <w:tcW w:w="45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A671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9.093 </w:t>
            </w:r>
          </w:p>
        </w:tc>
        <w:tc>
          <w:tcPr>
            <w:tcW w:w="4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10E0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4.546 </w:t>
            </w:r>
          </w:p>
        </w:tc>
        <w:tc>
          <w:tcPr>
            <w:tcW w:w="46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AD49ECA"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highlight w:val="green"/>
                <w:bdr w:val="none" w:sz="0" w:space="0" w:color="auto"/>
                <w:lang w:val="en-GB" w:eastAsia="en-GB"/>
              </w:rPr>
            </w:pPr>
            <w:r w:rsidRPr="00A13CF8">
              <w:rPr>
                <w:rFonts w:eastAsia="Times New Roman" w:cs="Times New Roman"/>
                <w:color w:val="auto"/>
                <w:sz w:val="16"/>
                <w:szCs w:val="16"/>
                <w:bdr w:val="none" w:sz="0" w:space="0" w:color="auto"/>
                <w:lang w:val="en-GB" w:eastAsia="en-GB"/>
              </w:rPr>
              <w:t>-</w:t>
            </w:r>
          </w:p>
        </w:tc>
        <w:tc>
          <w:tcPr>
            <w:tcW w:w="2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9DC8500" w14:textId="77777777" w:rsidR="00B326C9" w:rsidRPr="0054140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0,0</w:t>
            </w:r>
          </w:p>
        </w:tc>
        <w:tc>
          <w:tcPr>
            <w:tcW w:w="46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E70DC4"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highlight w:val="green"/>
                <w:bdr w:val="none" w:sz="0" w:space="0" w:color="auto"/>
                <w:lang w:val="en-GB" w:eastAsia="en-GB"/>
              </w:rPr>
            </w:pPr>
            <w:r w:rsidRPr="00A13CF8">
              <w:rPr>
                <w:rFonts w:eastAsia="Times New Roman" w:cs="Times New Roman"/>
                <w:color w:val="auto"/>
                <w:sz w:val="16"/>
                <w:szCs w:val="16"/>
                <w:bdr w:val="none" w:sz="0" w:space="0" w:color="auto"/>
                <w:lang w:val="en-GB" w:eastAsia="en-GB"/>
              </w:rPr>
              <w:t>-</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7FDF5"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4</w:t>
            </w:r>
            <w:r w:rsidR="00FC0709">
              <w:rPr>
                <w:rFonts w:eastAsia="Times New Roman" w:cs="Times New Roman"/>
                <w:color w:val="auto"/>
                <w:sz w:val="16"/>
                <w:szCs w:val="16"/>
                <w:bdr w:val="none" w:sz="0" w:space="0" w:color="auto"/>
                <w:lang w:val="en-GB" w:eastAsia="en-GB"/>
              </w:rPr>
              <w:t>4</w:t>
            </w:r>
            <w:r>
              <w:rPr>
                <w:rFonts w:eastAsia="Times New Roman" w:cs="Times New Roman"/>
                <w:color w:val="auto"/>
                <w:sz w:val="16"/>
                <w:szCs w:val="16"/>
                <w:bdr w:val="none" w:sz="0" w:space="0" w:color="auto"/>
                <w:lang w:val="en-GB" w:eastAsia="en-GB"/>
              </w:rPr>
              <w:t>5</w:t>
            </w:r>
          </w:p>
        </w:tc>
        <w:tc>
          <w:tcPr>
            <w:tcW w:w="199" w:type="pct"/>
            <w:gridSpan w:val="2"/>
            <w:tcBorders>
              <w:top w:val="single" w:sz="4" w:space="0" w:color="auto"/>
              <w:left w:val="single" w:sz="4" w:space="0" w:color="auto"/>
              <w:bottom w:val="single" w:sz="4" w:space="0" w:color="auto"/>
            </w:tcBorders>
            <w:shd w:val="clear" w:color="auto" w:fill="auto"/>
            <w:vAlign w:val="center"/>
            <w:hideMark/>
          </w:tcPr>
          <w:p w14:paraId="3FA66D41" w14:textId="77777777" w:rsidR="00B326C9" w:rsidRPr="00922A9B" w:rsidRDefault="00E03ADD" w:rsidP="00BD6D24">
            <w:pPr>
              <w:pBdr>
                <w:top w:val="none" w:sz="0" w:space="0" w:color="auto"/>
                <w:left w:val="none" w:sz="0" w:space="0" w:color="auto"/>
                <w:bottom w:val="none" w:sz="0" w:space="0" w:color="auto"/>
                <w:right w:val="none" w:sz="0" w:space="0" w:color="auto"/>
                <w:between w:val="none" w:sz="0" w:space="0" w:color="auto"/>
                <w:bar w:val="none" w:sz="0" w:color="auto"/>
              </w:pBdr>
              <w:ind w:left="-141" w:right="-103"/>
              <w:jc w:val="center"/>
              <w:rPr>
                <w:rFonts w:eastAsia="Times New Roman" w:cs="Times New Roman"/>
                <w:color w:val="auto"/>
                <w:sz w:val="16"/>
                <w:szCs w:val="16"/>
                <w:bdr w:val="none" w:sz="0" w:space="0" w:color="auto"/>
                <w:lang w:val="en-GB" w:eastAsia="en-GB"/>
              </w:rPr>
            </w:pPr>
            <w:r>
              <w:rPr>
                <w:sz w:val="16"/>
                <w:szCs w:val="16"/>
              </w:rPr>
              <w:t>45</w:t>
            </w:r>
          </w:p>
        </w:tc>
      </w:tr>
      <w:tr w:rsidR="00B326C9" w:rsidRPr="006B6EBB" w14:paraId="1557786C" w14:textId="77777777" w:rsidTr="00C56F61">
        <w:trPr>
          <w:trHeight w:val="984"/>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797131D5"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8</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91BAD5"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2015-EU-TM-0316</w:t>
            </w:r>
          </w:p>
          <w:p w14:paraId="1FB93A00"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8" w:right="-107"/>
              <w:jc w:val="center"/>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F2C374"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6B6EBB">
              <w:rPr>
                <w:rFonts w:eastAsia="Times New Roman" w:cs="Times New Roman"/>
                <w:color w:val="auto"/>
                <w:sz w:val="16"/>
                <w:szCs w:val="16"/>
                <w:bdr w:val="none" w:sz="0" w:space="0" w:color="auto"/>
                <w:lang w:eastAsia="en-GB"/>
              </w:rPr>
              <w:t xml:space="preserve">MEHRLIN - Studio di modelli per l'infrastruttura di ricarica ad idrogeno </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F410E7C"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31/12/20</w:t>
            </w:r>
          </w:p>
        </w:tc>
        <w:tc>
          <w:tcPr>
            <w:tcW w:w="44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5809E"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1.725</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3F182"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 xml:space="preserve">863 </w:t>
            </w:r>
          </w:p>
        </w:tc>
        <w:tc>
          <w:tcPr>
            <w:tcW w:w="45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4E657"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 xml:space="preserve">11.019 </w:t>
            </w:r>
          </w:p>
        </w:tc>
        <w:tc>
          <w:tcPr>
            <w:tcW w:w="4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507A"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 xml:space="preserve">5.510 </w:t>
            </w:r>
          </w:p>
        </w:tc>
        <w:tc>
          <w:tcPr>
            <w:tcW w:w="46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02D2CFD" w14:textId="77777777" w:rsidR="00B326C9" w:rsidRPr="006B6EB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57</w:t>
            </w:r>
          </w:p>
        </w:tc>
        <w:tc>
          <w:tcPr>
            <w:tcW w:w="2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023C97D" w14:textId="77777777" w:rsidR="00B326C9" w:rsidRPr="006B6EB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6,6</w:t>
            </w:r>
          </w:p>
        </w:tc>
        <w:tc>
          <w:tcPr>
            <w:tcW w:w="464"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7F5A99C" w14:textId="77777777" w:rsidR="00B326C9" w:rsidRPr="006B6EB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78A068" w14:textId="77777777" w:rsidR="00B326C9" w:rsidRPr="006B6EB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B6EBB">
              <w:rPr>
                <w:rFonts w:eastAsia="Times New Roman" w:cs="Times New Roman"/>
                <w:color w:val="auto"/>
                <w:sz w:val="16"/>
                <w:szCs w:val="16"/>
                <w:bdr w:val="none" w:sz="0" w:space="0" w:color="auto"/>
                <w:lang w:val="en-GB" w:eastAsia="en-GB"/>
              </w:rPr>
              <w:t xml:space="preserve">25 </w:t>
            </w:r>
          </w:p>
        </w:tc>
        <w:tc>
          <w:tcPr>
            <w:tcW w:w="199" w:type="pct"/>
            <w:gridSpan w:val="2"/>
            <w:tcBorders>
              <w:top w:val="single" w:sz="4" w:space="0" w:color="auto"/>
              <w:left w:val="single" w:sz="4" w:space="0" w:color="auto"/>
              <w:bottom w:val="single" w:sz="4" w:space="0" w:color="auto"/>
            </w:tcBorders>
            <w:shd w:val="clear" w:color="auto" w:fill="auto"/>
            <w:vAlign w:val="center"/>
          </w:tcPr>
          <w:p w14:paraId="3CAEB4B6" w14:textId="77777777" w:rsidR="00B326C9" w:rsidRPr="006B6EBB" w:rsidRDefault="00E03ADD" w:rsidP="00BD6D24">
            <w:pPr>
              <w:pBdr>
                <w:top w:val="none" w:sz="0" w:space="0" w:color="auto"/>
                <w:left w:val="none" w:sz="0" w:space="0" w:color="auto"/>
                <w:bottom w:val="none" w:sz="0" w:space="0" w:color="auto"/>
                <w:right w:val="none" w:sz="0" w:space="0" w:color="auto"/>
                <w:between w:val="none" w:sz="0" w:space="0" w:color="auto"/>
                <w:bar w:val="none" w:sz="0" w:color="auto"/>
              </w:pBdr>
              <w:ind w:left="-141" w:right="-103"/>
              <w:jc w:val="center"/>
              <w:rPr>
                <w:rFonts w:eastAsia="Times New Roman" w:cs="Times New Roman"/>
                <w:color w:val="auto"/>
                <w:sz w:val="16"/>
                <w:szCs w:val="16"/>
                <w:bdr w:val="none" w:sz="0" w:space="0" w:color="auto"/>
                <w:lang w:val="en-GB" w:eastAsia="en-GB"/>
              </w:rPr>
            </w:pPr>
            <w:r>
              <w:rPr>
                <w:sz w:val="16"/>
                <w:szCs w:val="16"/>
              </w:rPr>
              <w:t>42</w:t>
            </w:r>
          </w:p>
        </w:tc>
      </w:tr>
      <w:tr w:rsidR="00B326C9" w:rsidRPr="00922A9B" w14:paraId="1B2A5516" w14:textId="77777777" w:rsidTr="00C56F61">
        <w:trPr>
          <w:trHeight w:val="169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57B3739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9</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1A665614"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2015-EU-TM-0415</w:t>
            </w:r>
          </w:p>
          <w:p w14:paraId="6300F82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373D0DE5"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EVA + </w:t>
            </w:r>
            <w:r>
              <w:rPr>
                <w:rFonts w:eastAsia="Times New Roman" w:cs="Times New Roman"/>
                <w:color w:val="auto"/>
                <w:sz w:val="16"/>
                <w:szCs w:val="16"/>
                <w:bdr w:val="none" w:sz="0" w:space="0" w:color="auto"/>
                <w:lang w:eastAsia="en-GB"/>
              </w:rPr>
              <w:t>S</w:t>
            </w:r>
            <w:r w:rsidRPr="00440560">
              <w:rPr>
                <w:rFonts w:eastAsia="Times New Roman" w:cs="Times New Roman"/>
                <w:color w:val="auto"/>
                <w:sz w:val="16"/>
                <w:szCs w:val="16"/>
                <w:bdr w:val="none" w:sz="0" w:space="0" w:color="auto"/>
                <w:lang w:eastAsia="en-GB"/>
              </w:rPr>
              <w:t xml:space="preserve">tudi preparatori con </w:t>
            </w:r>
            <w:proofErr w:type="spellStart"/>
            <w:r w:rsidRPr="00440560">
              <w:rPr>
                <w:rFonts w:eastAsia="Times New Roman" w:cs="Times New Roman"/>
                <w:color w:val="auto"/>
                <w:sz w:val="16"/>
                <w:szCs w:val="16"/>
                <w:bdr w:val="none" w:sz="0" w:space="0" w:color="auto"/>
                <w:lang w:eastAsia="en-GB"/>
              </w:rPr>
              <w:t>implementazio</w:t>
            </w:r>
            <w:proofErr w:type="spellEnd"/>
            <w:r w:rsidR="00AF3C37">
              <w:rPr>
                <w:rFonts w:eastAsia="Times New Roman" w:cs="Times New Roman"/>
                <w:color w:val="auto"/>
                <w:sz w:val="16"/>
                <w:szCs w:val="16"/>
                <w:bdr w:val="none" w:sz="0" w:space="0" w:color="auto"/>
                <w:lang w:eastAsia="en-GB"/>
              </w:rPr>
              <w:t>-</w:t>
            </w:r>
            <w:r w:rsidRPr="00440560">
              <w:rPr>
                <w:rFonts w:eastAsia="Times New Roman" w:cs="Times New Roman"/>
                <w:color w:val="auto"/>
                <w:sz w:val="16"/>
                <w:szCs w:val="16"/>
                <w:bdr w:val="none" w:sz="0" w:space="0" w:color="auto"/>
                <w:lang w:eastAsia="en-GB"/>
              </w:rPr>
              <w:t xml:space="preserve">ne pilota di 200 stazioni di </w:t>
            </w:r>
            <w:proofErr w:type="spellStart"/>
            <w:r w:rsidRPr="00440560">
              <w:rPr>
                <w:rFonts w:eastAsia="Times New Roman" w:cs="Times New Roman"/>
                <w:color w:val="auto"/>
                <w:sz w:val="16"/>
                <w:szCs w:val="16"/>
                <w:bdr w:val="none" w:sz="0" w:space="0" w:color="auto"/>
                <w:lang w:eastAsia="en-GB"/>
              </w:rPr>
              <w:t>rica</w:t>
            </w:r>
            <w:r w:rsidR="00400222">
              <w:rPr>
                <w:rFonts w:eastAsia="Times New Roman" w:cs="Times New Roman"/>
                <w:color w:val="auto"/>
                <w:sz w:val="16"/>
                <w:szCs w:val="16"/>
                <w:bdr w:val="none" w:sz="0" w:space="0" w:color="auto"/>
                <w:lang w:eastAsia="en-GB"/>
              </w:rPr>
              <w:t>-</w:t>
            </w:r>
            <w:r w:rsidRPr="00440560">
              <w:rPr>
                <w:rFonts w:eastAsia="Times New Roman" w:cs="Times New Roman"/>
                <w:color w:val="auto"/>
                <w:sz w:val="16"/>
                <w:szCs w:val="16"/>
                <w:bdr w:val="none" w:sz="0" w:space="0" w:color="auto"/>
                <w:lang w:eastAsia="en-GB"/>
              </w:rPr>
              <w:t>rica</w:t>
            </w:r>
            <w:proofErr w:type="spellEnd"/>
            <w:r w:rsidRPr="00440560">
              <w:rPr>
                <w:rFonts w:eastAsia="Times New Roman" w:cs="Times New Roman"/>
                <w:color w:val="auto"/>
                <w:sz w:val="16"/>
                <w:szCs w:val="16"/>
                <w:bdr w:val="none" w:sz="0" w:space="0" w:color="auto"/>
                <w:lang w:eastAsia="en-GB"/>
              </w:rPr>
              <w:t xml:space="preserve"> elettrica </w:t>
            </w:r>
            <w:proofErr w:type="gramStart"/>
            <w:r w:rsidRPr="00440560">
              <w:rPr>
                <w:rFonts w:eastAsia="Times New Roman" w:cs="Times New Roman"/>
                <w:color w:val="auto"/>
                <w:sz w:val="16"/>
                <w:szCs w:val="16"/>
                <w:bdr w:val="none" w:sz="0" w:space="0" w:color="auto"/>
                <w:lang w:eastAsia="en-GB"/>
              </w:rPr>
              <w:t>multistandard</w:t>
            </w:r>
            <w:r>
              <w:rPr>
                <w:rFonts w:eastAsia="Times New Roman" w:cs="Times New Roman"/>
                <w:color w:val="auto"/>
                <w:sz w:val="16"/>
                <w:szCs w:val="16"/>
                <w:bdr w:val="none" w:sz="0" w:space="0" w:color="auto"/>
                <w:lang w:eastAsia="en-GB"/>
              </w:rPr>
              <w:t xml:space="preserve">  in</w:t>
            </w:r>
            <w:proofErr w:type="gramEnd"/>
            <w:r>
              <w:rPr>
                <w:rFonts w:eastAsia="Times New Roman" w:cs="Times New Roman"/>
                <w:color w:val="auto"/>
                <w:sz w:val="16"/>
                <w:szCs w:val="16"/>
                <w:bdr w:val="none" w:sz="0" w:space="0" w:color="auto"/>
                <w:lang w:eastAsia="en-GB"/>
              </w:rPr>
              <w:t xml:space="preserve"> IT e in AT di cui</w:t>
            </w:r>
            <w:r w:rsidRPr="00440560">
              <w:rPr>
                <w:rFonts w:eastAsia="Times New Roman" w:cs="Times New Roman"/>
                <w:color w:val="auto"/>
                <w:sz w:val="16"/>
                <w:szCs w:val="16"/>
                <w:bdr w:val="none" w:sz="0" w:space="0" w:color="auto"/>
                <w:lang w:eastAsia="en-GB"/>
              </w:rPr>
              <w:t xml:space="preserve"> </w:t>
            </w:r>
            <w:r w:rsidR="00400222">
              <w:rPr>
                <w:rFonts w:eastAsia="Times New Roman" w:cs="Times New Roman"/>
                <w:color w:val="auto"/>
                <w:sz w:val="16"/>
                <w:szCs w:val="16"/>
                <w:bdr w:val="none" w:sz="0" w:space="0" w:color="auto"/>
                <w:lang w:eastAsia="en-GB"/>
              </w:rPr>
              <w:t>1</w:t>
            </w:r>
            <w:r w:rsidRPr="00440560">
              <w:rPr>
                <w:rFonts w:eastAsia="Times New Roman" w:cs="Times New Roman"/>
                <w:color w:val="auto"/>
                <w:sz w:val="16"/>
                <w:szCs w:val="16"/>
                <w:bdr w:val="none" w:sz="0" w:space="0" w:color="auto"/>
                <w:lang w:eastAsia="en-GB"/>
              </w:rPr>
              <w:t xml:space="preserve">80 in Italia </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3C4ACB3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31/08/19</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1C63636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6.731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2BE8955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3.366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14B63CA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8.473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2E413A1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4.237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175E6E62"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2.545</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1CBD59E7"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75,6</w:t>
            </w:r>
          </w:p>
        </w:tc>
        <w:tc>
          <w:tcPr>
            <w:tcW w:w="464" w:type="pct"/>
            <w:gridSpan w:val="6"/>
            <w:tcBorders>
              <w:top w:val="single" w:sz="4" w:space="0" w:color="auto"/>
              <w:left w:val="nil"/>
              <w:bottom w:val="single" w:sz="4" w:space="0" w:color="auto"/>
              <w:right w:val="single" w:sz="4" w:space="0" w:color="auto"/>
            </w:tcBorders>
            <w:shd w:val="clear" w:color="auto" w:fill="auto"/>
            <w:vAlign w:val="center"/>
            <w:hideMark/>
          </w:tcPr>
          <w:p w14:paraId="272EC48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4835CE60"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7.665</w:t>
            </w:r>
          </w:p>
        </w:tc>
        <w:tc>
          <w:tcPr>
            <w:tcW w:w="199" w:type="pct"/>
            <w:gridSpan w:val="2"/>
            <w:tcBorders>
              <w:top w:val="single" w:sz="4" w:space="0" w:color="auto"/>
              <w:left w:val="nil"/>
              <w:bottom w:val="single" w:sz="4" w:space="0" w:color="auto"/>
            </w:tcBorders>
            <w:shd w:val="clear" w:color="auto" w:fill="auto"/>
            <w:vAlign w:val="center"/>
          </w:tcPr>
          <w:p w14:paraId="533B0B38"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r>
              <w:rPr>
                <w:sz w:val="16"/>
                <w:szCs w:val="16"/>
              </w:rPr>
              <w:t>100</w:t>
            </w:r>
          </w:p>
        </w:tc>
      </w:tr>
      <w:tr w:rsidR="00B326C9" w:rsidRPr="00922A9B" w14:paraId="6012C5A2"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420EFC7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F93CE6"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2015-EU-TM-0422</w:t>
            </w:r>
          </w:p>
          <w:p w14:paraId="1BA2163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-S</w:t>
            </w:r>
            <w:r w:rsidRPr="00041D47">
              <w:rPr>
                <w:rFonts w:eastAsia="Times New Roman" w:cs="Times New Roman"/>
                <w:color w:val="auto"/>
                <w:sz w:val="16"/>
                <w:szCs w:val="16"/>
                <w:bdr w:val="none" w:sz="0" w:space="0" w:color="auto"/>
                <w:vertAlign w:val="superscript"/>
                <w:lang w:val="en-GB" w:eastAsia="en-GB"/>
              </w:rPr>
              <w:t>1</w:t>
            </w:r>
            <w:r>
              <w:rPr>
                <w:rFonts w:eastAsia="Times New Roman" w:cs="Times New Roman"/>
                <w:color w:val="auto"/>
                <w:sz w:val="16"/>
                <w:szCs w:val="16"/>
                <w:bdr w:val="none" w:sz="0" w:space="0" w:color="auto"/>
                <w:vertAlign w:val="superscript"/>
                <w:lang w:val="en-GB" w:eastAsia="en-GB"/>
              </w:rPr>
              <w:t>2</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3A89C8" w14:textId="77777777" w:rsidR="00B326C9" w:rsidRPr="00626397" w:rsidRDefault="00AF3C37"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LNG-M</w:t>
            </w:r>
            <w:r w:rsidR="00B326C9">
              <w:rPr>
                <w:rFonts w:eastAsia="Times New Roman" w:cs="Times New Roman"/>
                <w:color w:val="auto"/>
                <w:sz w:val="16"/>
                <w:szCs w:val="16"/>
                <w:bdr w:val="none" w:sz="0" w:space="0" w:color="auto"/>
                <w:lang w:eastAsia="en-GB"/>
              </w:rPr>
              <w:t>otion: rifornimento di camion con GLN/GNC lungo la rete centrale</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44C47CA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31/12/20</w:t>
            </w:r>
          </w:p>
        </w:tc>
        <w:tc>
          <w:tcPr>
            <w:tcW w:w="445"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0EFA31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512DB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45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954407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55.530</w:t>
            </w:r>
          </w:p>
        </w:tc>
        <w:tc>
          <w:tcPr>
            <w:tcW w:w="4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03AE84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27.765</w:t>
            </w:r>
          </w:p>
        </w:tc>
        <w:tc>
          <w:tcPr>
            <w:tcW w:w="46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EEDE925"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n.a.</w:t>
            </w:r>
          </w:p>
        </w:tc>
        <w:tc>
          <w:tcPr>
            <w:tcW w:w="2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8162C3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n.</w:t>
            </w:r>
            <w:r w:rsidR="0005480C">
              <w:rPr>
                <w:rFonts w:eastAsia="Times New Roman" w:cs="Times New Roman"/>
                <w:color w:val="auto"/>
                <w:sz w:val="16"/>
                <w:szCs w:val="16"/>
                <w:bdr w:val="none" w:sz="0" w:space="0" w:color="auto"/>
                <w:lang w:eastAsia="en-GB"/>
              </w:rPr>
              <w:t>a</w:t>
            </w:r>
            <w:r w:rsidRPr="002E17CB">
              <w:rPr>
                <w:rFonts w:eastAsia="Times New Roman" w:cs="Times New Roman"/>
                <w:color w:val="auto"/>
                <w:sz w:val="16"/>
                <w:szCs w:val="16"/>
                <w:bdr w:val="none" w:sz="0" w:space="0" w:color="auto"/>
                <w:lang w:eastAsia="en-GB"/>
              </w:rPr>
              <w:t>.</w:t>
            </w:r>
          </w:p>
        </w:tc>
        <w:tc>
          <w:tcPr>
            <w:tcW w:w="46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35AB633F"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n.a.</w:t>
            </w:r>
          </w:p>
        </w:tc>
        <w:tc>
          <w:tcPr>
            <w:tcW w:w="4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0B27E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n.a.</w:t>
            </w:r>
          </w:p>
        </w:tc>
        <w:tc>
          <w:tcPr>
            <w:tcW w:w="195" w:type="pct"/>
            <w:tcBorders>
              <w:top w:val="single" w:sz="4" w:space="0" w:color="auto"/>
              <w:left w:val="single" w:sz="4" w:space="0" w:color="auto"/>
              <w:bottom w:val="single" w:sz="4" w:space="0" w:color="auto"/>
            </w:tcBorders>
            <w:shd w:val="clear" w:color="auto" w:fill="auto"/>
            <w:vAlign w:val="center"/>
          </w:tcPr>
          <w:p w14:paraId="46059ADC" w14:textId="77777777" w:rsidR="00B326C9" w:rsidRPr="002E17C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eastAsia="en-GB"/>
              </w:rPr>
            </w:pPr>
            <w:proofErr w:type="spellStart"/>
            <w:r>
              <w:rPr>
                <w:rFonts w:eastAsia="Times New Roman" w:cs="Times New Roman"/>
                <w:color w:val="auto"/>
                <w:sz w:val="16"/>
                <w:szCs w:val="16"/>
                <w:bdr w:val="none" w:sz="0" w:space="0" w:color="auto"/>
                <w:lang w:eastAsia="en-GB"/>
              </w:rPr>
              <w:t>n.</w:t>
            </w:r>
            <w:r w:rsidR="00400222">
              <w:rPr>
                <w:rFonts w:eastAsia="Times New Roman" w:cs="Times New Roman"/>
                <w:color w:val="auto"/>
                <w:sz w:val="16"/>
                <w:szCs w:val="16"/>
                <w:bdr w:val="none" w:sz="0" w:space="0" w:color="auto"/>
                <w:lang w:eastAsia="en-GB"/>
              </w:rPr>
              <w:t>d</w:t>
            </w:r>
            <w:r>
              <w:rPr>
                <w:rFonts w:eastAsia="Times New Roman" w:cs="Times New Roman"/>
                <w:color w:val="auto"/>
                <w:sz w:val="16"/>
                <w:szCs w:val="16"/>
                <w:bdr w:val="none" w:sz="0" w:space="0" w:color="auto"/>
                <w:lang w:eastAsia="en-GB"/>
              </w:rPr>
              <w:t>.</w:t>
            </w:r>
            <w:proofErr w:type="spellEnd"/>
          </w:p>
        </w:tc>
      </w:tr>
      <w:tr w:rsidR="00B326C9" w:rsidRPr="00922A9B" w14:paraId="753688AA"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4B34BE4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1</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748F3F"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2016-EU-TM-0044</w:t>
            </w:r>
          </w:p>
          <w:p w14:paraId="2FA83B7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FE9E1F"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626397">
              <w:rPr>
                <w:rFonts w:eastAsia="Times New Roman" w:cs="Times New Roman"/>
                <w:color w:val="auto"/>
                <w:sz w:val="16"/>
                <w:szCs w:val="16"/>
                <w:bdr w:val="none" w:sz="0" w:space="0" w:color="auto"/>
                <w:lang w:eastAsia="en-GB"/>
              </w:rPr>
              <w:t xml:space="preserve">URSA MAJOR NEO – </w:t>
            </w:r>
            <w:proofErr w:type="spellStart"/>
            <w:r w:rsidRPr="00626397">
              <w:rPr>
                <w:rFonts w:eastAsia="Times New Roman" w:cs="Times New Roman"/>
                <w:color w:val="auto"/>
                <w:sz w:val="16"/>
                <w:szCs w:val="16"/>
                <w:bdr w:val="none" w:sz="0" w:space="0" w:color="auto"/>
                <w:lang w:eastAsia="en-GB"/>
              </w:rPr>
              <w:t>Imple</w:t>
            </w:r>
            <w:r>
              <w:rPr>
                <w:rFonts w:eastAsia="Times New Roman" w:cs="Times New Roman"/>
                <w:color w:val="auto"/>
                <w:sz w:val="16"/>
                <w:szCs w:val="16"/>
                <w:bdr w:val="none" w:sz="0" w:space="0" w:color="auto"/>
                <w:lang w:eastAsia="en-GB"/>
              </w:rPr>
              <w:t>-</w:t>
            </w:r>
            <w:r w:rsidRPr="00626397">
              <w:rPr>
                <w:rFonts w:eastAsia="Times New Roman" w:cs="Times New Roman"/>
                <w:color w:val="auto"/>
                <w:sz w:val="16"/>
                <w:szCs w:val="16"/>
                <w:bdr w:val="none" w:sz="0" w:space="0" w:color="auto"/>
                <w:lang w:eastAsia="en-GB"/>
              </w:rPr>
              <w:t>ment</w:t>
            </w:r>
            <w:r w:rsidRPr="00922A9B">
              <w:rPr>
                <w:rFonts w:eastAsia="Times New Roman" w:cs="Times New Roman"/>
                <w:color w:val="auto"/>
                <w:sz w:val="16"/>
                <w:szCs w:val="16"/>
                <w:bdr w:val="none" w:sz="0" w:space="0" w:color="auto"/>
                <w:lang w:eastAsia="en-GB"/>
              </w:rPr>
              <w:t>azione</w:t>
            </w:r>
            <w:proofErr w:type="spellEnd"/>
            <w:r w:rsidRPr="00922A9B">
              <w:rPr>
                <w:rFonts w:eastAsia="Times New Roman" w:cs="Times New Roman"/>
                <w:color w:val="auto"/>
                <w:sz w:val="16"/>
                <w:szCs w:val="16"/>
                <w:bdr w:val="none" w:sz="0" w:space="0" w:color="auto"/>
                <w:lang w:eastAsia="en-GB"/>
              </w:rPr>
              <w:t xml:space="preserve"> dei servizi ITS per migliorare il traffico merci lungo i Corridoi Reno - Alpi e Scandinavo - Mediterraneo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A04ED3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C5A2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42.986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B4C7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 8.774 </w:t>
            </w:r>
          </w:p>
        </w:tc>
        <w:tc>
          <w:tcPr>
            <w:tcW w:w="452"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1DB0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149.462 </w:t>
            </w:r>
          </w:p>
        </w:tc>
        <w:tc>
          <w:tcPr>
            <w:tcW w:w="4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BAAC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32.129 </w:t>
            </w:r>
          </w:p>
        </w:tc>
        <w:tc>
          <w:tcPr>
            <w:tcW w:w="46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35FF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1.160 </w:t>
            </w:r>
          </w:p>
        </w:tc>
        <w:tc>
          <w:tcPr>
            <w:tcW w:w="2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5987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cs="Times New Roman"/>
                <w:color w:val="auto"/>
                <w:sz w:val="16"/>
                <w:szCs w:val="16"/>
                <w:bdr w:val="none" w:sz="0" w:space="0" w:color="auto"/>
                <w:lang w:val="en-GB" w:eastAsia="en-GB"/>
              </w:rPr>
            </w:pPr>
            <w:r>
              <w:rPr>
                <w:sz w:val="16"/>
                <w:szCs w:val="16"/>
              </w:rPr>
              <w:t>13,2</w:t>
            </w:r>
          </w:p>
        </w:tc>
        <w:tc>
          <w:tcPr>
            <w:tcW w:w="464"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0A6F23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A7BBF2"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8.973</w:t>
            </w:r>
          </w:p>
        </w:tc>
        <w:tc>
          <w:tcPr>
            <w:tcW w:w="195" w:type="pct"/>
            <w:tcBorders>
              <w:top w:val="single" w:sz="4" w:space="0" w:color="auto"/>
              <w:left w:val="single" w:sz="4" w:space="0" w:color="auto"/>
              <w:bottom w:val="single" w:sz="4" w:space="0" w:color="auto"/>
            </w:tcBorders>
            <w:shd w:val="clear" w:color="auto" w:fill="auto"/>
            <w:vAlign w:val="center"/>
          </w:tcPr>
          <w:p w14:paraId="00E1E5B9"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21</w:t>
            </w:r>
          </w:p>
        </w:tc>
      </w:tr>
      <w:tr w:rsidR="00B326C9" w:rsidRPr="00922A9B" w14:paraId="504C1E13" w14:textId="77777777" w:rsidTr="00C56F61">
        <w:trPr>
          <w:trHeight w:val="833"/>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4825C88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2</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6C8A9385"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2016-EU-TM-0121</w:t>
            </w:r>
          </w:p>
          <w:p w14:paraId="1B4A432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r w:rsidRPr="00041D47">
              <w:rPr>
                <w:rFonts w:eastAsia="Times New Roman" w:cs="Times New Roman"/>
                <w:color w:val="auto"/>
                <w:sz w:val="16"/>
                <w:szCs w:val="16"/>
                <w:bdr w:val="none" w:sz="0" w:space="0" w:color="auto"/>
                <w:vertAlign w:val="superscript"/>
                <w:lang w:val="en-GB" w:eastAsia="en-GB"/>
              </w:rPr>
              <w:t>1</w:t>
            </w:r>
            <w:r>
              <w:rPr>
                <w:rFonts w:eastAsia="Times New Roman" w:cs="Times New Roman"/>
                <w:color w:val="auto"/>
                <w:sz w:val="16"/>
                <w:szCs w:val="16"/>
                <w:bdr w:val="none" w:sz="0" w:space="0" w:color="auto"/>
                <w:vertAlign w:val="superscript"/>
                <w:lang w:val="en-GB" w:eastAsia="en-GB"/>
              </w:rPr>
              <w:t>2</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0AFF60D4"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Mobilità elettrica ad alt</w:t>
            </w:r>
            <w:r>
              <w:rPr>
                <w:rFonts w:eastAsia="Times New Roman" w:cs="Times New Roman"/>
                <w:color w:val="auto"/>
                <w:sz w:val="16"/>
                <w:szCs w:val="16"/>
                <w:bdr w:val="none" w:sz="0" w:space="0" w:color="auto"/>
                <w:lang w:eastAsia="en-GB"/>
              </w:rPr>
              <w:t xml:space="preserve">a velocità diffusa </w:t>
            </w:r>
            <w:proofErr w:type="gramStart"/>
            <w:r>
              <w:rPr>
                <w:rFonts w:eastAsia="Times New Roman" w:cs="Times New Roman"/>
                <w:color w:val="auto"/>
                <w:sz w:val="16"/>
                <w:szCs w:val="16"/>
                <w:bdr w:val="none" w:sz="0" w:space="0" w:color="auto"/>
                <w:lang w:eastAsia="en-GB"/>
              </w:rPr>
              <w:t>per  l'Europa</w:t>
            </w:r>
            <w:proofErr w:type="gramEnd"/>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02324BD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5E93E14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60AB6">
              <w:rPr>
                <w:rFonts w:eastAsia="Times New Roman" w:cs="Times New Roman"/>
                <w:color w:val="auto"/>
                <w:sz w:val="16"/>
                <w:szCs w:val="16"/>
                <w:bdr w:val="none" w:sz="0" w:space="0" w:color="auto"/>
                <w:lang w:val="en-GB" w:eastAsia="en-GB"/>
              </w:rPr>
              <w:t xml:space="preserve"> </w:t>
            </w:r>
            <w:proofErr w:type="spellStart"/>
            <w:r w:rsidRPr="00760AB6">
              <w:rPr>
                <w:rFonts w:eastAsia="Times New Roman" w:cs="Times New Roman"/>
                <w:color w:val="auto"/>
                <w:sz w:val="16"/>
                <w:szCs w:val="16"/>
                <w:bdr w:val="none" w:sz="0" w:space="0" w:color="auto"/>
                <w:lang w:val="en-GB" w:eastAsia="en-GB"/>
              </w:rPr>
              <w:t>n.a.</w:t>
            </w:r>
            <w:proofErr w:type="spellEnd"/>
            <w:r w:rsidRPr="00760AB6">
              <w:rPr>
                <w:rFonts w:eastAsia="Times New Roman" w:cs="Times New Roman"/>
                <w:color w:val="auto"/>
                <w:sz w:val="16"/>
                <w:szCs w:val="16"/>
                <w:bdr w:val="none" w:sz="0" w:space="0" w:color="auto"/>
                <w:lang w:val="en-GB" w:eastAsia="en-GB"/>
              </w:rPr>
              <w:t xml:space="preserve">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6A37264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60AB6">
              <w:rPr>
                <w:rFonts w:eastAsia="Times New Roman" w:cs="Times New Roman"/>
                <w:color w:val="auto"/>
                <w:sz w:val="16"/>
                <w:szCs w:val="16"/>
                <w:bdr w:val="none" w:sz="0" w:space="0" w:color="auto"/>
                <w:lang w:val="en-GB" w:eastAsia="en-GB"/>
              </w:rPr>
              <w:t xml:space="preserve"> </w:t>
            </w:r>
            <w:proofErr w:type="spellStart"/>
            <w:r w:rsidRPr="00760AB6">
              <w:rPr>
                <w:rFonts w:eastAsia="Times New Roman" w:cs="Times New Roman"/>
                <w:color w:val="auto"/>
                <w:sz w:val="16"/>
                <w:szCs w:val="16"/>
                <w:bdr w:val="none" w:sz="0" w:space="0" w:color="auto"/>
                <w:lang w:val="en-GB" w:eastAsia="en-GB"/>
              </w:rPr>
              <w:t>n.a.</w:t>
            </w:r>
            <w:proofErr w:type="spellEnd"/>
            <w:r w:rsidRPr="00760AB6">
              <w:rPr>
                <w:rFonts w:eastAsia="Times New Roman" w:cs="Times New Roman"/>
                <w:color w:val="auto"/>
                <w:sz w:val="16"/>
                <w:szCs w:val="16"/>
                <w:bdr w:val="none" w:sz="0" w:space="0" w:color="auto"/>
                <w:lang w:val="en-GB" w:eastAsia="en-GB"/>
              </w:rPr>
              <w:t xml:space="preserve">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60C48ACB" w14:textId="77777777" w:rsidR="00B326C9" w:rsidRPr="00760AB6"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60AB6">
              <w:rPr>
                <w:rFonts w:eastAsia="Times New Roman" w:cs="Times New Roman"/>
                <w:color w:val="auto"/>
                <w:sz w:val="16"/>
                <w:szCs w:val="16"/>
                <w:bdr w:val="none" w:sz="0" w:space="0" w:color="auto"/>
                <w:lang w:val="en-GB" w:eastAsia="en-GB"/>
              </w:rPr>
              <w:t xml:space="preserve"> 50.840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6F0D8A80" w14:textId="77777777" w:rsidR="00B326C9" w:rsidRPr="00760AB6"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10.</w:t>
            </w:r>
            <w:r w:rsidRPr="00760AB6">
              <w:rPr>
                <w:rFonts w:eastAsia="Times New Roman" w:cs="Times New Roman"/>
                <w:color w:val="auto"/>
                <w:sz w:val="16"/>
                <w:szCs w:val="16"/>
                <w:bdr w:val="none" w:sz="0" w:space="0" w:color="auto"/>
                <w:lang w:val="en-GB" w:eastAsia="en-GB"/>
              </w:rPr>
              <w:t xml:space="preserve">168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hideMark/>
          </w:tcPr>
          <w:p w14:paraId="75873AE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60AB6">
              <w:rPr>
                <w:rFonts w:eastAsia="Times New Roman" w:cs="Times New Roman"/>
                <w:color w:val="auto"/>
                <w:sz w:val="16"/>
                <w:szCs w:val="16"/>
                <w:bdr w:val="none" w:sz="0" w:space="0" w:color="auto"/>
                <w:lang w:val="en-GB" w:eastAsia="en-GB"/>
              </w:rPr>
              <w:t xml:space="preserve"> </w:t>
            </w:r>
            <w:proofErr w:type="spellStart"/>
            <w:r w:rsidRPr="00760AB6">
              <w:rPr>
                <w:rFonts w:eastAsia="Times New Roman" w:cs="Times New Roman"/>
                <w:color w:val="auto"/>
                <w:sz w:val="16"/>
                <w:szCs w:val="16"/>
                <w:bdr w:val="none" w:sz="0" w:space="0" w:color="auto"/>
                <w:lang w:val="en-GB" w:eastAsia="en-GB"/>
              </w:rPr>
              <w:t>n.</w:t>
            </w:r>
            <w:r w:rsidR="00400222">
              <w:rPr>
                <w:rFonts w:eastAsia="Times New Roman" w:cs="Times New Roman"/>
                <w:color w:val="auto"/>
                <w:sz w:val="16"/>
                <w:szCs w:val="16"/>
                <w:bdr w:val="none" w:sz="0" w:space="0" w:color="auto"/>
                <w:lang w:val="en-GB" w:eastAsia="en-GB"/>
              </w:rPr>
              <w:t>a</w:t>
            </w:r>
            <w:r w:rsidRPr="00760AB6">
              <w:rPr>
                <w:rFonts w:eastAsia="Times New Roman" w:cs="Times New Roman"/>
                <w:color w:val="auto"/>
                <w:sz w:val="16"/>
                <w:szCs w:val="16"/>
                <w:bdr w:val="none" w:sz="0" w:space="0" w:color="auto"/>
                <w:lang w:val="en-GB" w:eastAsia="en-GB"/>
              </w:rPr>
              <w:t>.</w:t>
            </w:r>
            <w:proofErr w:type="spellEnd"/>
            <w:r w:rsidRPr="00760AB6">
              <w:rPr>
                <w:rFonts w:eastAsia="Times New Roman" w:cs="Times New Roman"/>
                <w:color w:val="auto"/>
                <w:sz w:val="16"/>
                <w:szCs w:val="16"/>
                <w:bdr w:val="none" w:sz="0" w:space="0" w:color="auto"/>
                <w:lang w:val="en-GB" w:eastAsia="en-GB"/>
              </w:rPr>
              <w:t xml:space="preserve"> </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hideMark/>
          </w:tcPr>
          <w:p w14:paraId="5FEB60B2" w14:textId="77777777" w:rsidR="00B326C9" w:rsidRPr="00922A9B" w:rsidRDefault="006C1DCB"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sz w:val="16"/>
                <w:szCs w:val="16"/>
              </w:rPr>
              <w:t>n</w:t>
            </w:r>
            <w:r w:rsidR="00B326C9">
              <w:rPr>
                <w:sz w:val="16"/>
                <w:szCs w:val="16"/>
              </w:rPr>
              <w:t>.</w:t>
            </w:r>
            <w:r>
              <w:rPr>
                <w:sz w:val="16"/>
                <w:szCs w:val="16"/>
              </w:rPr>
              <w:t>a.</w:t>
            </w:r>
          </w:p>
        </w:tc>
        <w:tc>
          <w:tcPr>
            <w:tcW w:w="464" w:type="pct"/>
            <w:gridSpan w:val="6"/>
            <w:tcBorders>
              <w:top w:val="single" w:sz="4" w:space="0" w:color="auto"/>
              <w:left w:val="nil"/>
              <w:bottom w:val="single" w:sz="4" w:space="0" w:color="auto"/>
              <w:right w:val="single" w:sz="4" w:space="0" w:color="auto"/>
            </w:tcBorders>
            <w:shd w:val="clear" w:color="auto" w:fill="auto"/>
            <w:vAlign w:val="center"/>
            <w:hideMark/>
          </w:tcPr>
          <w:p w14:paraId="63E9701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n.a. </w:t>
            </w:r>
          </w:p>
        </w:tc>
        <w:tc>
          <w:tcPr>
            <w:tcW w:w="411" w:type="pct"/>
            <w:gridSpan w:val="3"/>
            <w:tcBorders>
              <w:top w:val="single" w:sz="4" w:space="0" w:color="auto"/>
              <w:left w:val="nil"/>
              <w:bottom w:val="single" w:sz="4" w:space="0" w:color="auto"/>
              <w:right w:val="single" w:sz="4" w:space="0" w:color="auto"/>
            </w:tcBorders>
            <w:shd w:val="clear" w:color="auto" w:fill="auto"/>
            <w:vAlign w:val="center"/>
            <w:hideMark/>
          </w:tcPr>
          <w:p w14:paraId="0D7E23F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n.a. </w:t>
            </w:r>
          </w:p>
        </w:tc>
        <w:tc>
          <w:tcPr>
            <w:tcW w:w="195" w:type="pct"/>
            <w:tcBorders>
              <w:top w:val="single" w:sz="4" w:space="0" w:color="auto"/>
              <w:left w:val="nil"/>
              <w:bottom w:val="single" w:sz="4" w:space="0" w:color="auto"/>
            </w:tcBorders>
            <w:shd w:val="clear" w:color="auto" w:fill="auto"/>
            <w:vAlign w:val="center"/>
            <w:hideMark/>
          </w:tcPr>
          <w:p w14:paraId="3B37372A"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proofErr w:type="spellStart"/>
            <w:r>
              <w:rPr>
                <w:sz w:val="16"/>
                <w:szCs w:val="16"/>
              </w:rPr>
              <w:t>n.d.</w:t>
            </w:r>
            <w:proofErr w:type="spellEnd"/>
          </w:p>
        </w:tc>
      </w:tr>
      <w:tr w:rsidR="00B326C9" w:rsidRPr="00922A9B" w14:paraId="4D6DD37E" w14:textId="77777777" w:rsidTr="00C56F61">
        <w:trPr>
          <w:trHeight w:val="428"/>
        </w:trPr>
        <w:tc>
          <w:tcPr>
            <w:tcW w:w="230" w:type="pct"/>
            <w:tcBorders>
              <w:top w:val="nil"/>
              <w:left w:val="nil"/>
              <w:bottom w:val="single" w:sz="4" w:space="0" w:color="auto"/>
              <w:right w:val="single" w:sz="4" w:space="0" w:color="auto"/>
            </w:tcBorders>
            <w:shd w:val="clear" w:color="auto" w:fill="auto"/>
            <w:noWrap/>
            <w:vAlign w:val="center"/>
            <w:hideMark/>
          </w:tcPr>
          <w:p w14:paraId="132A944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3</w:t>
            </w:r>
          </w:p>
        </w:tc>
        <w:tc>
          <w:tcPr>
            <w:tcW w:w="371" w:type="pct"/>
            <w:gridSpan w:val="2"/>
            <w:tcBorders>
              <w:top w:val="nil"/>
              <w:left w:val="nil"/>
              <w:bottom w:val="single" w:sz="4" w:space="0" w:color="auto"/>
              <w:right w:val="single" w:sz="4" w:space="0" w:color="auto"/>
            </w:tcBorders>
            <w:shd w:val="clear" w:color="auto" w:fill="auto"/>
            <w:vAlign w:val="center"/>
            <w:hideMark/>
          </w:tcPr>
          <w:p w14:paraId="63860A74"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2016-EU-TM-0163</w:t>
            </w:r>
          </w:p>
          <w:p w14:paraId="284BEE9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040DDB26" w14:textId="77777777" w:rsidR="00B326C9" w:rsidRPr="00B70F83" w:rsidRDefault="00B326C9" w:rsidP="00AF3C37">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CROCODILE 3- </w:t>
            </w:r>
            <w:proofErr w:type="spellStart"/>
            <w:r w:rsidRPr="00922A9B">
              <w:rPr>
                <w:rFonts w:eastAsia="Times New Roman" w:cs="Times New Roman"/>
                <w:color w:val="auto"/>
                <w:sz w:val="16"/>
                <w:szCs w:val="16"/>
                <w:bdr w:val="none" w:sz="0" w:space="0" w:color="auto"/>
                <w:lang w:eastAsia="en-GB"/>
              </w:rPr>
              <w:t>Implemen</w:t>
            </w:r>
            <w:r w:rsidR="00400222">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tazione</w:t>
            </w:r>
            <w:proofErr w:type="spellEnd"/>
            <w:r w:rsidRPr="00922A9B">
              <w:rPr>
                <w:rFonts w:eastAsia="Times New Roman" w:cs="Times New Roman"/>
                <w:color w:val="auto"/>
                <w:sz w:val="16"/>
                <w:szCs w:val="16"/>
                <w:bdr w:val="none" w:sz="0" w:space="0" w:color="auto"/>
                <w:lang w:eastAsia="en-GB"/>
              </w:rPr>
              <w:t xml:space="preserve"> di sistemi ITS per migliorare il traffico e il trasporto trans-frontaliero ne</w:t>
            </w:r>
            <w:r>
              <w:rPr>
                <w:rFonts w:eastAsia="Times New Roman" w:cs="Times New Roman"/>
                <w:color w:val="auto"/>
                <w:sz w:val="16"/>
                <w:szCs w:val="16"/>
                <w:bdr w:val="none" w:sz="0" w:space="0" w:color="auto"/>
                <w:lang w:eastAsia="en-GB"/>
              </w:rPr>
              <w:t>i Corridoi Baltico-Adria</w:t>
            </w:r>
            <w:r w:rsidR="00400222">
              <w:rPr>
                <w:rFonts w:eastAsia="Times New Roman" w:cs="Times New Roman"/>
                <w:color w:val="auto"/>
                <w:sz w:val="16"/>
                <w:szCs w:val="16"/>
                <w:bdr w:val="none" w:sz="0" w:space="0" w:color="auto"/>
                <w:lang w:eastAsia="en-GB"/>
              </w:rPr>
              <w:t>-</w:t>
            </w:r>
            <w:proofErr w:type="spellStart"/>
            <w:r>
              <w:rPr>
                <w:rFonts w:eastAsia="Times New Roman" w:cs="Times New Roman"/>
                <w:color w:val="auto"/>
                <w:sz w:val="16"/>
                <w:szCs w:val="16"/>
                <w:bdr w:val="none" w:sz="0" w:space="0" w:color="auto"/>
                <w:lang w:eastAsia="en-GB"/>
              </w:rPr>
              <w:t>tico</w:t>
            </w:r>
            <w:proofErr w:type="spellEnd"/>
            <w:r>
              <w:rPr>
                <w:rFonts w:eastAsia="Times New Roman" w:cs="Times New Roman"/>
                <w:color w:val="auto"/>
                <w:sz w:val="16"/>
                <w:szCs w:val="16"/>
                <w:bdr w:val="none" w:sz="0" w:space="0" w:color="auto"/>
                <w:lang w:eastAsia="en-GB"/>
              </w:rPr>
              <w:t xml:space="preserve">, </w:t>
            </w:r>
            <w:proofErr w:type="spellStart"/>
            <w:r>
              <w:rPr>
                <w:rFonts w:eastAsia="Times New Roman" w:cs="Times New Roman"/>
                <w:color w:val="auto"/>
                <w:sz w:val="16"/>
                <w:szCs w:val="16"/>
                <w:bdr w:val="none" w:sz="0" w:space="0" w:color="auto"/>
                <w:lang w:eastAsia="en-GB"/>
              </w:rPr>
              <w:t>Mediter</w:t>
            </w:r>
            <w:r w:rsidR="00400222">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raneo</w:t>
            </w:r>
            <w:proofErr w:type="spellEnd"/>
            <w:r w:rsidRPr="00922A9B">
              <w:rPr>
                <w:rFonts w:eastAsia="Times New Roman" w:cs="Times New Roman"/>
                <w:color w:val="auto"/>
                <w:sz w:val="16"/>
                <w:szCs w:val="16"/>
                <w:bdr w:val="none" w:sz="0" w:space="0" w:color="auto"/>
                <w:lang w:eastAsia="en-GB"/>
              </w:rPr>
              <w:t xml:space="preserve"> e </w:t>
            </w:r>
            <w:proofErr w:type="spellStart"/>
            <w:r w:rsidRPr="00922A9B">
              <w:rPr>
                <w:rFonts w:eastAsia="Times New Roman" w:cs="Times New Roman"/>
                <w:color w:val="auto"/>
                <w:sz w:val="16"/>
                <w:szCs w:val="16"/>
                <w:bdr w:val="none" w:sz="0" w:space="0" w:color="auto"/>
                <w:lang w:eastAsia="en-GB"/>
              </w:rPr>
              <w:t>Orient</w:t>
            </w:r>
            <w:proofErr w:type="spellEnd"/>
            <w:r w:rsidRPr="00922A9B">
              <w:rPr>
                <w:rFonts w:eastAsia="Times New Roman" w:cs="Times New Roman"/>
                <w:color w:val="auto"/>
                <w:sz w:val="16"/>
                <w:szCs w:val="16"/>
                <w:bdr w:val="none" w:sz="0" w:space="0" w:color="auto"/>
                <w:lang w:eastAsia="en-GB"/>
              </w:rPr>
              <w:t>-Est-</w:t>
            </w:r>
            <w:proofErr w:type="spellStart"/>
            <w:r w:rsidRPr="00922A9B">
              <w:rPr>
                <w:rFonts w:eastAsia="Times New Roman" w:cs="Times New Roman"/>
                <w:color w:val="auto"/>
                <w:sz w:val="16"/>
                <w:szCs w:val="16"/>
                <w:bdr w:val="none" w:sz="0" w:space="0" w:color="auto"/>
                <w:lang w:eastAsia="en-GB"/>
              </w:rPr>
              <w:t>Med</w:t>
            </w:r>
            <w:proofErr w:type="spellEnd"/>
            <w:r w:rsidRPr="00922A9B">
              <w:rPr>
                <w:rFonts w:eastAsia="Times New Roman" w:cs="Times New Roman"/>
                <w:color w:val="auto"/>
                <w:sz w:val="16"/>
                <w:szCs w:val="16"/>
                <w:bdr w:val="none" w:sz="0" w:space="0" w:color="auto"/>
                <w:lang w:eastAsia="en-GB"/>
              </w:rPr>
              <w:t xml:space="preserve">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229CF9A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7B23368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2.155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10EF498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431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46E4CFA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13.755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530027E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2.751 </w:t>
            </w:r>
          </w:p>
        </w:tc>
        <w:tc>
          <w:tcPr>
            <w:tcW w:w="466" w:type="pct"/>
            <w:gridSpan w:val="4"/>
            <w:tcBorders>
              <w:top w:val="nil"/>
              <w:left w:val="nil"/>
              <w:bottom w:val="single" w:sz="4" w:space="0" w:color="auto"/>
              <w:right w:val="single" w:sz="4" w:space="0" w:color="auto"/>
            </w:tcBorders>
            <w:shd w:val="clear" w:color="auto" w:fill="auto"/>
            <w:noWrap/>
            <w:vAlign w:val="center"/>
          </w:tcPr>
          <w:p w14:paraId="480836D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283" w:type="pct"/>
            <w:gridSpan w:val="3"/>
            <w:tcBorders>
              <w:top w:val="nil"/>
              <w:left w:val="nil"/>
              <w:bottom w:val="single" w:sz="4" w:space="0" w:color="auto"/>
              <w:right w:val="single" w:sz="4" w:space="0" w:color="auto"/>
            </w:tcBorders>
            <w:shd w:val="clear" w:color="auto" w:fill="auto"/>
            <w:noWrap/>
            <w:vAlign w:val="center"/>
          </w:tcPr>
          <w:p w14:paraId="7E2BBE9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sz w:val="16"/>
                <w:szCs w:val="16"/>
              </w:rPr>
              <w:t>-</w:t>
            </w:r>
          </w:p>
        </w:tc>
        <w:tc>
          <w:tcPr>
            <w:tcW w:w="464" w:type="pct"/>
            <w:gridSpan w:val="6"/>
            <w:tcBorders>
              <w:top w:val="nil"/>
              <w:left w:val="nil"/>
              <w:bottom w:val="single" w:sz="4" w:space="0" w:color="auto"/>
              <w:right w:val="single" w:sz="4" w:space="0" w:color="auto"/>
            </w:tcBorders>
            <w:shd w:val="clear" w:color="auto" w:fill="auto"/>
            <w:vAlign w:val="center"/>
          </w:tcPr>
          <w:p w14:paraId="6F3BE92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11" w:type="pct"/>
            <w:gridSpan w:val="3"/>
            <w:tcBorders>
              <w:top w:val="nil"/>
              <w:left w:val="nil"/>
              <w:bottom w:val="single" w:sz="4" w:space="0" w:color="auto"/>
              <w:right w:val="single" w:sz="4" w:space="0" w:color="auto"/>
            </w:tcBorders>
            <w:shd w:val="clear" w:color="auto" w:fill="auto"/>
            <w:vAlign w:val="center"/>
          </w:tcPr>
          <w:p w14:paraId="686C0A21"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1.375</w:t>
            </w:r>
          </w:p>
        </w:tc>
        <w:tc>
          <w:tcPr>
            <w:tcW w:w="195" w:type="pct"/>
            <w:tcBorders>
              <w:top w:val="nil"/>
              <w:left w:val="nil"/>
              <w:bottom w:val="single" w:sz="4" w:space="0" w:color="auto"/>
            </w:tcBorders>
            <w:shd w:val="clear" w:color="auto" w:fill="auto"/>
            <w:vAlign w:val="center"/>
          </w:tcPr>
          <w:p w14:paraId="13CD7E2A" w14:textId="77777777" w:rsidR="00B326C9" w:rsidRPr="00922A9B" w:rsidRDefault="00E03ADD" w:rsidP="00BD6D24">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r>
              <w:rPr>
                <w:sz w:val="16"/>
                <w:szCs w:val="16"/>
              </w:rPr>
              <w:t>45</w:t>
            </w:r>
          </w:p>
        </w:tc>
      </w:tr>
      <w:tr w:rsidR="00B326C9" w:rsidRPr="00922A9B" w14:paraId="1F3EB311" w14:textId="77777777" w:rsidTr="00C56F61">
        <w:trPr>
          <w:trHeight w:val="1735"/>
        </w:trPr>
        <w:tc>
          <w:tcPr>
            <w:tcW w:w="230" w:type="pct"/>
            <w:tcBorders>
              <w:top w:val="nil"/>
              <w:left w:val="nil"/>
              <w:bottom w:val="single" w:sz="4" w:space="0" w:color="auto"/>
              <w:right w:val="single" w:sz="4" w:space="0" w:color="auto"/>
            </w:tcBorders>
            <w:shd w:val="clear" w:color="auto" w:fill="auto"/>
            <w:noWrap/>
            <w:vAlign w:val="center"/>
            <w:hideMark/>
          </w:tcPr>
          <w:p w14:paraId="0957787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4</w:t>
            </w:r>
          </w:p>
        </w:tc>
        <w:tc>
          <w:tcPr>
            <w:tcW w:w="371" w:type="pct"/>
            <w:gridSpan w:val="2"/>
            <w:tcBorders>
              <w:top w:val="nil"/>
              <w:left w:val="nil"/>
              <w:bottom w:val="single" w:sz="4" w:space="0" w:color="auto"/>
              <w:right w:val="single" w:sz="4" w:space="0" w:color="auto"/>
            </w:tcBorders>
            <w:shd w:val="clear" w:color="auto" w:fill="auto"/>
            <w:vAlign w:val="center"/>
            <w:hideMark/>
          </w:tcPr>
          <w:p w14:paraId="7BB64CF1"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2016-EU-TM-0275</w:t>
            </w:r>
          </w:p>
          <w:p w14:paraId="1BB2AB3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305F4BF3"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MedTIS</w:t>
            </w:r>
            <w:proofErr w:type="spellEnd"/>
            <w:r w:rsidRPr="00922A9B">
              <w:rPr>
                <w:rFonts w:eastAsia="Times New Roman" w:cs="Times New Roman"/>
                <w:color w:val="auto"/>
                <w:sz w:val="16"/>
                <w:szCs w:val="16"/>
                <w:bdr w:val="none" w:sz="0" w:space="0" w:color="auto"/>
                <w:lang w:eastAsia="en-GB"/>
              </w:rPr>
              <w:t xml:space="preserve"> III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Implementazio</w:t>
            </w:r>
            <w:proofErr w:type="spellEnd"/>
            <w:r w:rsidR="00400222">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dei servizi ITS per la sicurezza stradale e la gestione del traffico </w:t>
            </w:r>
            <w:r>
              <w:rPr>
                <w:rFonts w:eastAsia="Times New Roman" w:cs="Times New Roman"/>
                <w:color w:val="auto"/>
                <w:sz w:val="16"/>
                <w:szCs w:val="16"/>
                <w:bdr w:val="none" w:sz="0" w:space="0" w:color="auto"/>
                <w:lang w:eastAsia="en-GB"/>
              </w:rPr>
              <w:t>sul</w:t>
            </w:r>
            <w:r w:rsidRPr="00922A9B">
              <w:rPr>
                <w:rFonts w:eastAsia="Times New Roman" w:cs="Times New Roman"/>
                <w:color w:val="auto"/>
                <w:sz w:val="16"/>
                <w:szCs w:val="16"/>
                <w:bdr w:val="none" w:sz="0" w:space="0" w:color="auto"/>
                <w:lang w:eastAsia="en-GB"/>
              </w:rPr>
              <w:t xml:space="preserve"> Corridoio Mediterraneo</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52F1837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164E46E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24.536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5403B6E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4.907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2D8BCC3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70.526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6725A10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14.105 </w:t>
            </w:r>
          </w:p>
        </w:tc>
        <w:tc>
          <w:tcPr>
            <w:tcW w:w="466" w:type="pct"/>
            <w:gridSpan w:val="4"/>
            <w:tcBorders>
              <w:top w:val="nil"/>
              <w:left w:val="nil"/>
              <w:bottom w:val="single" w:sz="4" w:space="0" w:color="auto"/>
              <w:right w:val="single" w:sz="4" w:space="0" w:color="auto"/>
            </w:tcBorders>
            <w:shd w:val="clear" w:color="auto" w:fill="auto"/>
            <w:noWrap/>
            <w:vAlign w:val="center"/>
          </w:tcPr>
          <w:p w14:paraId="299FAE50"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FB7478">
              <w:rPr>
                <w:rFonts w:eastAsia="Times New Roman" w:cs="Times New Roman"/>
                <w:color w:val="auto"/>
                <w:sz w:val="16"/>
                <w:szCs w:val="16"/>
                <w:bdr w:val="none" w:sz="0" w:space="0" w:color="auto"/>
                <w:lang w:eastAsia="en-GB"/>
              </w:rPr>
              <w:t>1.</w:t>
            </w:r>
            <w:r>
              <w:rPr>
                <w:rFonts w:eastAsia="Times New Roman" w:cs="Times New Roman"/>
                <w:color w:val="auto"/>
                <w:sz w:val="16"/>
                <w:szCs w:val="16"/>
                <w:bdr w:val="none" w:sz="0" w:space="0" w:color="auto"/>
                <w:lang w:eastAsia="en-GB"/>
              </w:rPr>
              <w:t>375</w:t>
            </w:r>
            <w:r w:rsidRPr="00FB7478">
              <w:rPr>
                <w:rFonts w:eastAsia="Times New Roman" w:cs="Times New Roman"/>
                <w:color w:val="auto"/>
                <w:sz w:val="16"/>
                <w:szCs w:val="16"/>
                <w:bdr w:val="none" w:sz="0" w:space="0" w:color="auto"/>
                <w:lang w:eastAsia="en-GB"/>
              </w:rPr>
              <w:t> </w:t>
            </w:r>
          </w:p>
        </w:tc>
        <w:tc>
          <w:tcPr>
            <w:tcW w:w="283" w:type="pct"/>
            <w:gridSpan w:val="3"/>
            <w:tcBorders>
              <w:top w:val="nil"/>
              <w:left w:val="nil"/>
              <w:bottom w:val="single" w:sz="4" w:space="0" w:color="auto"/>
              <w:right w:val="single" w:sz="4" w:space="0" w:color="auto"/>
            </w:tcBorders>
            <w:shd w:val="clear" w:color="auto" w:fill="auto"/>
            <w:noWrap/>
            <w:vAlign w:val="center"/>
          </w:tcPr>
          <w:p w14:paraId="6DEEF6F2" w14:textId="77777777" w:rsidR="00B326C9" w:rsidRPr="00AD39B7"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sz w:val="16"/>
                <w:szCs w:val="16"/>
                <w:bdr w:val="none" w:sz="0" w:space="0" w:color="auto"/>
                <w:lang w:val="en-GB" w:eastAsia="en-GB"/>
              </w:rPr>
            </w:pPr>
            <w:r>
              <w:rPr>
                <w:rFonts w:eastAsia="Times New Roman"/>
                <w:sz w:val="16"/>
                <w:szCs w:val="16"/>
                <w:bdr w:val="none" w:sz="0" w:space="0" w:color="auto"/>
                <w:lang w:eastAsia="en-GB"/>
              </w:rPr>
              <w:t>28,0</w:t>
            </w:r>
          </w:p>
        </w:tc>
        <w:tc>
          <w:tcPr>
            <w:tcW w:w="464" w:type="pct"/>
            <w:gridSpan w:val="6"/>
            <w:tcBorders>
              <w:top w:val="nil"/>
              <w:left w:val="nil"/>
              <w:bottom w:val="single" w:sz="4" w:space="0" w:color="auto"/>
              <w:right w:val="single" w:sz="4" w:space="0" w:color="auto"/>
            </w:tcBorders>
            <w:shd w:val="clear" w:color="auto" w:fill="auto"/>
            <w:vAlign w:val="center"/>
            <w:hideMark/>
          </w:tcPr>
          <w:p w14:paraId="0384917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11" w:type="pct"/>
            <w:gridSpan w:val="3"/>
            <w:tcBorders>
              <w:top w:val="nil"/>
              <w:left w:val="nil"/>
              <w:bottom w:val="single" w:sz="4" w:space="0" w:color="auto"/>
              <w:right w:val="single" w:sz="4" w:space="0" w:color="auto"/>
            </w:tcBorders>
            <w:shd w:val="clear" w:color="auto" w:fill="auto"/>
            <w:vAlign w:val="center"/>
          </w:tcPr>
          <w:p w14:paraId="0FCE075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18.722 </w:t>
            </w:r>
          </w:p>
        </w:tc>
        <w:tc>
          <w:tcPr>
            <w:tcW w:w="195" w:type="pct"/>
            <w:tcBorders>
              <w:top w:val="nil"/>
              <w:left w:val="nil"/>
              <w:bottom w:val="single" w:sz="4" w:space="0" w:color="auto"/>
            </w:tcBorders>
            <w:shd w:val="clear" w:color="auto" w:fill="auto"/>
            <w:vAlign w:val="center"/>
          </w:tcPr>
          <w:p w14:paraId="6DFD0892" w14:textId="77777777" w:rsidR="00B326C9" w:rsidRPr="00922A9B" w:rsidRDefault="00E03ADD" w:rsidP="00BD6D24">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r>
              <w:rPr>
                <w:sz w:val="16"/>
                <w:szCs w:val="16"/>
              </w:rPr>
              <w:t>74</w:t>
            </w:r>
          </w:p>
        </w:tc>
      </w:tr>
      <w:tr w:rsidR="00B326C9" w:rsidRPr="00922A9B" w14:paraId="30F92967" w14:textId="77777777" w:rsidTr="00C56F61">
        <w:trPr>
          <w:trHeight w:val="1350"/>
        </w:trPr>
        <w:tc>
          <w:tcPr>
            <w:tcW w:w="230" w:type="pct"/>
            <w:tcBorders>
              <w:top w:val="nil"/>
              <w:left w:val="nil"/>
              <w:bottom w:val="single" w:sz="4" w:space="0" w:color="auto"/>
              <w:right w:val="single" w:sz="4" w:space="0" w:color="auto"/>
            </w:tcBorders>
            <w:shd w:val="clear" w:color="auto" w:fill="auto"/>
            <w:noWrap/>
            <w:vAlign w:val="center"/>
            <w:hideMark/>
          </w:tcPr>
          <w:p w14:paraId="4368478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lastRenderedPageBreak/>
              <w:t>1</w:t>
            </w:r>
            <w:r>
              <w:rPr>
                <w:rFonts w:eastAsia="Times New Roman" w:cs="Times New Roman"/>
                <w:color w:val="auto"/>
                <w:sz w:val="16"/>
                <w:szCs w:val="16"/>
                <w:bdr w:val="none" w:sz="0" w:space="0" w:color="auto"/>
                <w:lang w:val="en-GB" w:eastAsia="en-GB"/>
              </w:rPr>
              <w:t>5</w:t>
            </w:r>
          </w:p>
        </w:tc>
        <w:tc>
          <w:tcPr>
            <w:tcW w:w="371" w:type="pct"/>
            <w:gridSpan w:val="2"/>
            <w:tcBorders>
              <w:top w:val="nil"/>
              <w:left w:val="nil"/>
              <w:bottom w:val="single" w:sz="4" w:space="0" w:color="auto"/>
              <w:right w:val="single" w:sz="4" w:space="0" w:color="auto"/>
            </w:tcBorders>
            <w:shd w:val="clear" w:color="auto" w:fill="auto"/>
            <w:vAlign w:val="center"/>
            <w:hideMark/>
          </w:tcPr>
          <w:p w14:paraId="128DC4CA"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2016-EU-TM-0327</w:t>
            </w:r>
          </w:p>
          <w:p w14:paraId="63C347A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Pr="00B70F83">
              <w:rPr>
                <w:rFonts w:eastAsia="Times New Roman" w:cs="Times New Roman"/>
                <w:color w:val="auto"/>
                <w:sz w:val="16"/>
                <w:szCs w:val="16"/>
                <w:bdr w:val="none" w:sz="0" w:space="0" w:color="auto"/>
                <w:vertAlign w:val="superscript"/>
                <w:lang w:val="en-GB" w:eastAsia="en-GB"/>
              </w:rPr>
              <w:t>1</w:t>
            </w:r>
            <w:r>
              <w:rPr>
                <w:rFonts w:eastAsia="Times New Roman" w:cs="Times New Roman"/>
                <w:color w:val="auto"/>
                <w:sz w:val="16"/>
                <w:szCs w:val="16"/>
                <w:bdr w:val="none" w:sz="0" w:space="0" w:color="auto"/>
                <w:vertAlign w:val="superscript"/>
                <w:lang w:val="en-GB" w:eastAsia="en-GB"/>
              </w:rPr>
              <w:t>6</w:t>
            </w:r>
          </w:p>
        </w:tc>
        <w:tc>
          <w:tcPr>
            <w:tcW w:w="587" w:type="pct"/>
            <w:gridSpan w:val="2"/>
            <w:tcBorders>
              <w:top w:val="nil"/>
              <w:left w:val="nil"/>
              <w:bottom w:val="single" w:sz="4" w:space="0" w:color="auto"/>
              <w:right w:val="single" w:sz="4" w:space="0" w:color="auto"/>
            </w:tcBorders>
            <w:shd w:val="clear" w:color="auto" w:fill="auto"/>
            <w:vAlign w:val="center"/>
            <w:hideMark/>
          </w:tcPr>
          <w:p w14:paraId="55A1D74B"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CONCORDA - Elaborazione</w:t>
            </w:r>
            <w:r w:rsidRPr="00922A9B">
              <w:rPr>
                <w:rFonts w:eastAsia="Times New Roman" w:cs="Times New Roman"/>
                <w:color w:val="auto"/>
                <w:sz w:val="16"/>
                <w:szCs w:val="16"/>
                <w:bdr w:val="none" w:sz="0" w:space="0" w:color="auto"/>
                <w:lang w:eastAsia="en-GB"/>
              </w:rPr>
              <w:t xml:space="preserve"> e validazione di soluzioni per veicoli ibridi e infrastrutture digitali</w:t>
            </w:r>
            <w:r>
              <w:rPr>
                <w:rFonts w:eastAsia="Times New Roman" w:cs="Times New Roman"/>
                <w:color w:val="auto"/>
                <w:sz w:val="16"/>
                <w:szCs w:val="16"/>
                <w:bdr w:val="none" w:sz="0" w:space="0" w:color="auto"/>
                <w:lang w:eastAsia="en-GB"/>
              </w:rPr>
              <w:t xml:space="preserve">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3CCD467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30/06/20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2A15247D"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950</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0825A069"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475</w:t>
            </w:r>
          </w:p>
        </w:tc>
        <w:tc>
          <w:tcPr>
            <w:tcW w:w="452" w:type="pct"/>
            <w:gridSpan w:val="3"/>
            <w:tcBorders>
              <w:top w:val="nil"/>
              <w:left w:val="nil"/>
              <w:bottom w:val="single" w:sz="4" w:space="0" w:color="auto"/>
              <w:right w:val="single" w:sz="4" w:space="0" w:color="auto"/>
            </w:tcBorders>
            <w:shd w:val="clear" w:color="auto" w:fill="auto"/>
            <w:noWrap/>
            <w:vAlign w:val="center"/>
          </w:tcPr>
          <w:p w14:paraId="26879D2F"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highlight w:val="green"/>
                <w:bdr w:val="none" w:sz="0" w:space="0" w:color="auto"/>
                <w:lang w:val="en-GB" w:eastAsia="en-GB"/>
              </w:rPr>
            </w:pPr>
            <w:r>
              <w:rPr>
                <w:sz w:val="16"/>
                <w:szCs w:val="16"/>
              </w:rPr>
              <w:t xml:space="preserve"> 20.000 </w:t>
            </w:r>
          </w:p>
        </w:tc>
        <w:tc>
          <w:tcPr>
            <w:tcW w:w="456" w:type="pct"/>
            <w:gridSpan w:val="5"/>
            <w:tcBorders>
              <w:top w:val="nil"/>
              <w:left w:val="nil"/>
              <w:bottom w:val="single" w:sz="4" w:space="0" w:color="auto"/>
              <w:right w:val="single" w:sz="4" w:space="0" w:color="auto"/>
            </w:tcBorders>
            <w:shd w:val="clear" w:color="auto" w:fill="auto"/>
            <w:noWrap/>
            <w:vAlign w:val="center"/>
          </w:tcPr>
          <w:p w14:paraId="3BA5E107"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highlight w:val="green"/>
                <w:bdr w:val="none" w:sz="0" w:space="0" w:color="auto"/>
                <w:lang w:val="en-GB" w:eastAsia="en-GB"/>
              </w:rPr>
            </w:pPr>
            <w:r>
              <w:rPr>
                <w:sz w:val="16"/>
                <w:szCs w:val="16"/>
              </w:rPr>
              <w:t xml:space="preserve">10.000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65B691E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w:t>
            </w:r>
            <w:proofErr w:type="spellStart"/>
            <w:r>
              <w:rPr>
                <w:sz w:val="16"/>
                <w:szCs w:val="16"/>
              </w:rPr>
              <w:t>n.d.</w:t>
            </w:r>
            <w:proofErr w:type="spellEnd"/>
            <w:r>
              <w:rPr>
                <w:sz w:val="16"/>
                <w:szCs w:val="16"/>
              </w:rPr>
              <w:t xml:space="preserve"> </w:t>
            </w:r>
          </w:p>
        </w:tc>
        <w:tc>
          <w:tcPr>
            <w:tcW w:w="283" w:type="pct"/>
            <w:gridSpan w:val="3"/>
            <w:tcBorders>
              <w:top w:val="nil"/>
              <w:left w:val="nil"/>
              <w:bottom w:val="single" w:sz="4" w:space="0" w:color="auto"/>
              <w:right w:val="single" w:sz="4" w:space="0" w:color="auto"/>
            </w:tcBorders>
            <w:shd w:val="clear" w:color="auto" w:fill="auto"/>
            <w:noWrap/>
            <w:vAlign w:val="center"/>
            <w:hideMark/>
          </w:tcPr>
          <w:p w14:paraId="2808F66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proofErr w:type="spellStart"/>
            <w:r>
              <w:rPr>
                <w:sz w:val="16"/>
                <w:szCs w:val="16"/>
              </w:rPr>
              <w:t>n.d.</w:t>
            </w:r>
            <w:proofErr w:type="spellEnd"/>
          </w:p>
        </w:tc>
        <w:tc>
          <w:tcPr>
            <w:tcW w:w="464" w:type="pct"/>
            <w:gridSpan w:val="6"/>
            <w:tcBorders>
              <w:top w:val="nil"/>
              <w:left w:val="nil"/>
              <w:bottom w:val="single" w:sz="4" w:space="0" w:color="auto"/>
              <w:right w:val="single" w:sz="4" w:space="0" w:color="auto"/>
            </w:tcBorders>
            <w:shd w:val="clear" w:color="auto" w:fill="auto"/>
            <w:vAlign w:val="center"/>
            <w:hideMark/>
          </w:tcPr>
          <w:p w14:paraId="7AE1CE4B"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- 37</w:t>
            </w:r>
          </w:p>
        </w:tc>
        <w:tc>
          <w:tcPr>
            <w:tcW w:w="411" w:type="pct"/>
            <w:gridSpan w:val="3"/>
            <w:tcBorders>
              <w:top w:val="nil"/>
              <w:left w:val="nil"/>
              <w:bottom w:val="single" w:sz="4" w:space="0" w:color="auto"/>
              <w:right w:val="single" w:sz="4" w:space="0" w:color="auto"/>
            </w:tcBorders>
            <w:shd w:val="clear" w:color="auto" w:fill="auto"/>
            <w:vAlign w:val="center"/>
            <w:hideMark/>
          </w:tcPr>
          <w:p w14:paraId="43B3FD4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w:t>
            </w:r>
            <w:proofErr w:type="spellStart"/>
            <w:r>
              <w:rPr>
                <w:sz w:val="16"/>
                <w:szCs w:val="16"/>
              </w:rPr>
              <w:t>n.d.</w:t>
            </w:r>
            <w:proofErr w:type="spellEnd"/>
            <w:r>
              <w:rPr>
                <w:sz w:val="16"/>
                <w:szCs w:val="16"/>
              </w:rPr>
              <w:t xml:space="preserve"> </w:t>
            </w:r>
          </w:p>
        </w:tc>
        <w:tc>
          <w:tcPr>
            <w:tcW w:w="195" w:type="pct"/>
            <w:tcBorders>
              <w:top w:val="nil"/>
              <w:left w:val="nil"/>
              <w:bottom w:val="single" w:sz="4" w:space="0" w:color="auto"/>
            </w:tcBorders>
            <w:shd w:val="clear" w:color="auto" w:fill="auto"/>
            <w:vAlign w:val="center"/>
            <w:hideMark/>
          </w:tcPr>
          <w:p w14:paraId="6B081ACD"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proofErr w:type="spellStart"/>
            <w:r>
              <w:rPr>
                <w:sz w:val="16"/>
                <w:szCs w:val="16"/>
              </w:rPr>
              <w:t>n.d.</w:t>
            </w:r>
            <w:proofErr w:type="spellEnd"/>
          </w:p>
        </w:tc>
      </w:tr>
      <w:tr w:rsidR="00B326C9" w:rsidRPr="00922A9B" w14:paraId="29232052" w14:textId="77777777" w:rsidTr="00C56F61">
        <w:trPr>
          <w:trHeight w:val="1765"/>
        </w:trPr>
        <w:tc>
          <w:tcPr>
            <w:tcW w:w="230" w:type="pct"/>
            <w:tcBorders>
              <w:top w:val="nil"/>
              <w:left w:val="nil"/>
              <w:bottom w:val="single" w:sz="4" w:space="0" w:color="auto"/>
              <w:right w:val="single" w:sz="4" w:space="0" w:color="auto"/>
            </w:tcBorders>
            <w:shd w:val="clear" w:color="auto" w:fill="auto"/>
            <w:noWrap/>
            <w:vAlign w:val="center"/>
            <w:hideMark/>
          </w:tcPr>
          <w:p w14:paraId="61B622D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6</w:t>
            </w:r>
          </w:p>
        </w:tc>
        <w:tc>
          <w:tcPr>
            <w:tcW w:w="371" w:type="pct"/>
            <w:gridSpan w:val="2"/>
            <w:tcBorders>
              <w:top w:val="nil"/>
              <w:left w:val="nil"/>
              <w:bottom w:val="single" w:sz="4" w:space="0" w:color="auto"/>
              <w:right w:val="single" w:sz="4" w:space="0" w:color="auto"/>
            </w:tcBorders>
            <w:shd w:val="clear" w:color="auto" w:fill="auto"/>
            <w:vAlign w:val="center"/>
            <w:hideMark/>
          </w:tcPr>
          <w:p w14:paraId="23647F4F"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2016-EU-TM-0337</w:t>
            </w:r>
          </w:p>
          <w:p w14:paraId="6174B95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nil"/>
              <w:left w:val="nil"/>
              <w:bottom w:val="single" w:sz="4" w:space="0" w:color="auto"/>
              <w:right w:val="single" w:sz="4" w:space="0" w:color="auto"/>
            </w:tcBorders>
            <w:shd w:val="clear" w:color="auto" w:fill="auto"/>
            <w:vAlign w:val="center"/>
            <w:hideMark/>
          </w:tcPr>
          <w:p w14:paraId="55F61411" w14:textId="77777777" w:rsidR="00B326C9" w:rsidRPr="00B70F83" w:rsidRDefault="00AF3C37"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E-VIA - FLEX-E-</w:t>
            </w:r>
            <w:proofErr w:type="spellStart"/>
            <w:r w:rsidR="00B326C9" w:rsidRPr="00644727">
              <w:rPr>
                <w:rFonts w:eastAsia="Times New Roman" w:cs="Times New Roman"/>
                <w:color w:val="000000" w:themeColor="text1"/>
                <w:sz w:val="16"/>
                <w:szCs w:val="16"/>
                <w:bdr w:val="none" w:sz="0" w:space="0" w:color="auto"/>
                <w:lang w:eastAsia="en-GB"/>
              </w:rPr>
              <w:t>mobility</w:t>
            </w:r>
            <w:proofErr w:type="spellEnd"/>
            <w:r w:rsidR="00B326C9" w:rsidRPr="00644727">
              <w:rPr>
                <w:rFonts w:eastAsia="Times New Roman" w:cs="Times New Roman"/>
                <w:color w:val="000000" w:themeColor="text1"/>
                <w:sz w:val="16"/>
                <w:szCs w:val="16"/>
                <w:bdr w:val="none" w:sz="0" w:space="0" w:color="auto"/>
                <w:lang w:eastAsia="en-GB"/>
              </w:rPr>
              <w:t xml:space="preserve">- Realizzazione </w:t>
            </w:r>
            <w:r w:rsidR="00F328B5" w:rsidRPr="00644727">
              <w:rPr>
                <w:rFonts w:eastAsia="Times New Roman" w:cs="Times New Roman"/>
                <w:color w:val="000000" w:themeColor="text1"/>
                <w:sz w:val="16"/>
                <w:szCs w:val="16"/>
                <w:bdr w:val="none" w:sz="0" w:space="0" w:color="auto"/>
                <w:lang w:eastAsia="en-GB"/>
              </w:rPr>
              <w:t xml:space="preserve">di </w:t>
            </w:r>
            <w:r w:rsidR="00B326C9" w:rsidRPr="00644727">
              <w:rPr>
                <w:rFonts w:eastAsia="Times New Roman" w:cs="Times New Roman"/>
                <w:color w:val="000000" w:themeColor="text1"/>
                <w:sz w:val="16"/>
                <w:szCs w:val="16"/>
                <w:bdr w:val="none" w:sz="0" w:space="0" w:color="auto"/>
                <w:lang w:eastAsia="en-GB"/>
              </w:rPr>
              <w:t xml:space="preserve">14 stazioni di ricarica elettrica </w:t>
            </w:r>
            <w:r w:rsidR="00B326C9" w:rsidRPr="00922A9B">
              <w:rPr>
                <w:rFonts w:eastAsia="Times New Roman" w:cs="Times New Roman"/>
                <w:color w:val="auto"/>
                <w:sz w:val="16"/>
                <w:szCs w:val="16"/>
                <w:bdr w:val="none" w:sz="0" w:space="0" w:color="auto"/>
                <w:lang w:eastAsia="en-GB"/>
              </w:rPr>
              <w:t xml:space="preserve">multistandard </w:t>
            </w:r>
            <w:proofErr w:type="gramStart"/>
            <w:r w:rsidR="00B326C9" w:rsidRPr="00922A9B">
              <w:rPr>
                <w:rFonts w:eastAsia="Times New Roman" w:cs="Times New Roman"/>
                <w:color w:val="auto"/>
                <w:sz w:val="16"/>
                <w:szCs w:val="16"/>
                <w:bdr w:val="none" w:sz="0" w:space="0" w:color="auto"/>
                <w:lang w:eastAsia="en-GB"/>
              </w:rPr>
              <w:t>ultra veloci</w:t>
            </w:r>
            <w:proofErr w:type="gramEnd"/>
            <w:r w:rsidR="00B326C9" w:rsidRPr="00922A9B">
              <w:rPr>
                <w:rFonts w:eastAsia="Times New Roman" w:cs="Times New Roman"/>
                <w:color w:val="auto"/>
                <w:sz w:val="16"/>
                <w:szCs w:val="16"/>
                <w:bdr w:val="none" w:sz="0" w:space="0" w:color="auto"/>
                <w:lang w:eastAsia="en-GB"/>
              </w:rPr>
              <w:t xml:space="preserve"> in AT, ES, FR, IT</w:t>
            </w:r>
            <w:r w:rsidR="00B326C9">
              <w:rPr>
                <w:rFonts w:eastAsia="Times New Roman" w:cs="Times New Roman"/>
                <w:color w:val="auto"/>
                <w:sz w:val="16"/>
                <w:szCs w:val="16"/>
                <w:bdr w:val="none" w:sz="0" w:space="0" w:color="auto"/>
                <w:lang w:eastAsia="en-GB"/>
              </w:rPr>
              <w:t xml:space="preserve"> (di cui 8 in Italia)</w:t>
            </w:r>
            <w:r w:rsidR="00B326C9" w:rsidRPr="00922A9B">
              <w:rPr>
                <w:rFonts w:eastAsia="Times New Roman" w:cs="Times New Roman"/>
                <w:color w:val="auto"/>
                <w:sz w:val="16"/>
                <w:szCs w:val="16"/>
                <w:bdr w:val="none" w:sz="0" w:space="0" w:color="auto"/>
                <w:lang w:eastAsia="en-GB"/>
              </w:rPr>
              <w:t xml:space="preserve">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5C6CC07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w:t>
            </w:r>
            <w:r w:rsidR="003E4AD5">
              <w:rPr>
                <w:rFonts w:eastAsia="Times New Roman" w:cs="Times New Roman"/>
                <w:color w:val="auto"/>
                <w:sz w:val="16"/>
                <w:szCs w:val="16"/>
                <w:bdr w:val="none" w:sz="0" w:space="0" w:color="auto"/>
                <w:lang w:val="en-GB" w:eastAsia="en-GB"/>
              </w:rPr>
              <w:t>/</w:t>
            </w:r>
            <w:r>
              <w:rPr>
                <w:rFonts w:eastAsia="Times New Roman" w:cs="Times New Roman"/>
                <w:color w:val="auto"/>
                <w:sz w:val="16"/>
                <w:szCs w:val="16"/>
                <w:bdr w:val="none" w:sz="0" w:space="0" w:color="auto"/>
                <w:lang w:val="en-GB" w:eastAsia="en-GB"/>
              </w:rPr>
              <w:t>03</w:t>
            </w:r>
            <w:r w:rsidRPr="00922A9B">
              <w:rPr>
                <w:rFonts w:eastAsia="Times New Roman" w:cs="Times New Roman"/>
                <w:color w:val="auto"/>
                <w:sz w:val="16"/>
                <w:szCs w:val="16"/>
                <w:bdr w:val="none" w:sz="0" w:space="0" w:color="auto"/>
                <w:lang w:val="en-GB" w:eastAsia="en-GB"/>
              </w:rPr>
              <w:t>/</w:t>
            </w:r>
            <w:r>
              <w:rPr>
                <w:rFonts w:eastAsia="Times New Roman" w:cs="Times New Roman"/>
                <w:color w:val="auto"/>
                <w:sz w:val="16"/>
                <w:szCs w:val="16"/>
                <w:bdr w:val="none" w:sz="0" w:space="0" w:color="auto"/>
                <w:lang w:val="en-GB" w:eastAsia="en-GB"/>
              </w:rPr>
              <w:t>21</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53218654" w14:textId="77777777" w:rsidR="00B326C9" w:rsidRPr="00922A9B" w:rsidRDefault="00C0018D"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3.365</w:t>
            </w:r>
            <w:r w:rsidR="00B326C9" w:rsidRPr="00922A9B">
              <w:rPr>
                <w:rFonts w:eastAsia="Times New Roman" w:cs="Times New Roman"/>
                <w:color w:val="auto"/>
                <w:sz w:val="16"/>
                <w:szCs w:val="16"/>
                <w:bdr w:val="none" w:sz="0" w:space="0" w:color="auto"/>
                <w:lang w:val="en-GB" w:eastAsia="en-GB"/>
              </w:rPr>
              <w:t xml:space="preserve">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482B153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1.683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37D9AA8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6.690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346F1AA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3.345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255EB2A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260 </w:t>
            </w:r>
          </w:p>
        </w:tc>
        <w:tc>
          <w:tcPr>
            <w:tcW w:w="283" w:type="pct"/>
            <w:gridSpan w:val="3"/>
            <w:tcBorders>
              <w:top w:val="nil"/>
              <w:left w:val="nil"/>
              <w:bottom w:val="single" w:sz="4" w:space="0" w:color="auto"/>
              <w:right w:val="single" w:sz="4" w:space="0" w:color="auto"/>
            </w:tcBorders>
            <w:shd w:val="clear" w:color="auto" w:fill="auto"/>
            <w:noWrap/>
            <w:vAlign w:val="center"/>
            <w:hideMark/>
          </w:tcPr>
          <w:p w14:paraId="3CF810F9" w14:textId="77777777" w:rsidR="00B326C9" w:rsidRPr="00AD39B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rFonts w:eastAsia="Times New Roman"/>
                <w:sz w:val="16"/>
                <w:szCs w:val="16"/>
                <w:bdr w:val="none" w:sz="0" w:space="0" w:color="auto"/>
                <w:lang w:val="en-GB" w:eastAsia="en-GB"/>
              </w:rPr>
            </w:pPr>
            <w:r>
              <w:rPr>
                <w:sz w:val="16"/>
                <w:szCs w:val="16"/>
              </w:rPr>
              <w:t>15,4</w:t>
            </w:r>
          </w:p>
        </w:tc>
        <w:tc>
          <w:tcPr>
            <w:tcW w:w="464" w:type="pct"/>
            <w:gridSpan w:val="6"/>
            <w:tcBorders>
              <w:top w:val="nil"/>
              <w:left w:val="nil"/>
              <w:bottom w:val="single" w:sz="4" w:space="0" w:color="auto"/>
              <w:right w:val="single" w:sz="4" w:space="0" w:color="auto"/>
            </w:tcBorders>
            <w:shd w:val="clear" w:color="auto" w:fill="auto"/>
            <w:vAlign w:val="center"/>
          </w:tcPr>
          <w:p w14:paraId="13B000A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11" w:type="pct"/>
            <w:gridSpan w:val="3"/>
            <w:tcBorders>
              <w:top w:val="nil"/>
              <w:left w:val="nil"/>
              <w:bottom w:val="single" w:sz="4" w:space="0" w:color="auto"/>
              <w:right w:val="single" w:sz="4" w:space="0" w:color="auto"/>
            </w:tcBorders>
            <w:shd w:val="clear" w:color="auto" w:fill="auto"/>
            <w:vAlign w:val="center"/>
            <w:hideMark/>
          </w:tcPr>
          <w:p w14:paraId="62165C49"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228</w:t>
            </w:r>
          </w:p>
        </w:tc>
        <w:tc>
          <w:tcPr>
            <w:tcW w:w="195" w:type="pct"/>
            <w:tcBorders>
              <w:top w:val="nil"/>
              <w:left w:val="nil"/>
              <w:bottom w:val="single" w:sz="4" w:space="0" w:color="auto"/>
            </w:tcBorders>
            <w:shd w:val="clear" w:color="auto" w:fill="auto"/>
            <w:vAlign w:val="center"/>
            <w:hideMark/>
          </w:tcPr>
          <w:p w14:paraId="0EDF5741" w14:textId="77777777" w:rsidR="00B326C9" w:rsidRPr="00922A9B" w:rsidRDefault="00E03ADD" w:rsidP="00BD6D24">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r>
              <w:rPr>
                <w:sz w:val="16"/>
                <w:szCs w:val="16"/>
              </w:rPr>
              <w:t>22</w:t>
            </w:r>
          </w:p>
        </w:tc>
      </w:tr>
      <w:tr w:rsidR="00B326C9" w:rsidRPr="00922A9B" w14:paraId="791E1DC4" w14:textId="77777777" w:rsidTr="00C56F61">
        <w:trPr>
          <w:trHeight w:val="1765"/>
        </w:trPr>
        <w:tc>
          <w:tcPr>
            <w:tcW w:w="230" w:type="pct"/>
            <w:tcBorders>
              <w:top w:val="nil"/>
              <w:left w:val="nil"/>
              <w:bottom w:val="single" w:sz="4" w:space="0" w:color="auto"/>
              <w:right w:val="single" w:sz="4" w:space="0" w:color="auto"/>
            </w:tcBorders>
            <w:shd w:val="clear" w:color="auto" w:fill="auto"/>
            <w:noWrap/>
            <w:vAlign w:val="center"/>
          </w:tcPr>
          <w:p w14:paraId="439BBD1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17</w:t>
            </w:r>
          </w:p>
        </w:tc>
        <w:tc>
          <w:tcPr>
            <w:tcW w:w="371" w:type="pct"/>
            <w:gridSpan w:val="2"/>
            <w:tcBorders>
              <w:top w:val="nil"/>
              <w:left w:val="nil"/>
              <w:bottom w:val="single" w:sz="4" w:space="0" w:color="auto"/>
              <w:right w:val="single" w:sz="4" w:space="0" w:color="auto"/>
            </w:tcBorders>
            <w:shd w:val="clear" w:color="auto" w:fill="auto"/>
            <w:vAlign w:val="center"/>
          </w:tcPr>
          <w:p w14:paraId="48B2B469"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2016-IT-TM-0024</w:t>
            </w:r>
          </w:p>
          <w:p w14:paraId="0AC006C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nil"/>
              <w:left w:val="nil"/>
              <w:bottom w:val="single" w:sz="4" w:space="0" w:color="auto"/>
              <w:right w:val="single" w:sz="4" w:space="0" w:color="auto"/>
            </w:tcBorders>
            <w:shd w:val="clear" w:color="auto" w:fill="auto"/>
            <w:vAlign w:val="center"/>
          </w:tcPr>
          <w:p w14:paraId="03D1941C" w14:textId="77777777" w:rsidR="00A37335" w:rsidRDefault="00B326C9" w:rsidP="00A37335">
            <w:pPr>
              <w:pBdr>
                <w:top w:val="none" w:sz="0" w:space="0" w:color="auto"/>
                <w:left w:val="none" w:sz="0" w:space="0" w:color="auto"/>
                <w:bottom w:val="none" w:sz="0" w:space="0" w:color="auto"/>
                <w:right w:val="none" w:sz="0" w:space="0" w:color="auto"/>
                <w:between w:val="none" w:sz="0" w:space="0" w:color="auto"/>
                <w:bar w:val="none" w:sz="0" w:color="auto"/>
              </w:pBdr>
              <w:ind w:left="-44" w:right="-95"/>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ROME URBAN NODE</w:t>
            </w:r>
            <w:r w:rsidR="00A37335">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 xml:space="preserve"> </w:t>
            </w:r>
          </w:p>
          <w:p w14:paraId="1A2B9B0A" w14:textId="77777777" w:rsidR="00B326C9" w:rsidRPr="00922A9B" w:rsidRDefault="00B326C9" w:rsidP="00A37335">
            <w:pPr>
              <w:pBdr>
                <w:top w:val="none" w:sz="0" w:space="0" w:color="auto"/>
                <w:left w:val="none" w:sz="0" w:space="0" w:color="auto"/>
                <w:bottom w:val="none" w:sz="0" w:space="0" w:color="auto"/>
                <w:right w:val="none" w:sz="0" w:space="0" w:color="auto"/>
                <w:between w:val="none" w:sz="0" w:space="0" w:color="auto"/>
                <w:bar w:val="none" w:sz="0" w:color="auto"/>
              </w:pBdr>
              <w:ind w:left="-44" w:right="-95"/>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Mi</w:t>
            </w:r>
            <w:r w:rsidRPr="00922A9B">
              <w:rPr>
                <w:rFonts w:eastAsia="Times New Roman" w:cs="Times New Roman"/>
                <w:color w:val="auto"/>
                <w:sz w:val="16"/>
                <w:szCs w:val="16"/>
                <w:bdr w:val="none" w:sz="0" w:space="0" w:color="auto"/>
                <w:lang w:eastAsia="en-GB"/>
              </w:rPr>
              <w:t xml:space="preserve">glioramento del trasporto pubblico e rimozione dei colli di bottiglia lungo la </w:t>
            </w:r>
            <w:proofErr w:type="spellStart"/>
            <w:r w:rsidRPr="00922A9B">
              <w:rPr>
                <w:rFonts w:eastAsia="Times New Roman" w:cs="Times New Roman"/>
                <w:color w:val="auto"/>
                <w:sz w:val="16"/>
                <w:szCs w:val="16"/>
                <w:bdr w:val="none" w:sz="0" w:space="0" w:color="auto"/>
                <w:lang w:eastAsia="en-GB"/>
              </w:rPr>
              <w:t>circon</w:t>
            </w:r>
            <w:r w:rsidR="00A37335">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vallazione</w:t>
            </w:r>
            <w:proofErr w:type="spellEnd"/>
            <w:r w:rsidRPr="00922A9B">
              <w:rPr>
                <w:rFonts w:eastAsia="Times New Roman" w:cs="Times New Roman"/>
                <w:color w:val="auto"/>
                <w:sz w:val="16"/>
                <w:szCs w:val="16"/>
                <w:bdr w:val="none" w:sz="0" w:space="0" w:color="auto"/>
                <w:lang w:eastAsia="en-GB"/>
              </w:rPr>
              <w:t xml:space="preserve"> d</w:t>
            </w:r>
            <w:r>
              <w:rPr>
                <w:rFonts w:eastAsia="Times New Roman" w:cs="Times New Roman"/>
                <w:color w:val="auto"/>
                <w:sz w:val="16"/>
                <w:szCs w:val="16"/>
                <w:bdr w:val="none" w:sz="0" w:space="0" w:color="auto"/>
                <w:lang w:eastAsia="en-GB"/>
              </w:rPr>
              <w:t>el nodo urbano di</w:t>
            </w:r>
            <w:r w:rsidRPr="00922A9B">
              <w:rPr>
                <w:rFonts w:eastAsia="Times New Roman" w:cs="Times New Roman"/>
                <w:color w:val="auto"/>
                <w:sz w:val="16"/>
                <w:szCs w:val="16"/>
                <w:bdr w:val="none" w:sz="0" w:space="0" w:color="auto"/>
                <w:lang w:eastAsia="en-GB"/>
              </w:rPr>
              <w:t xml:space="preserve"> Roma</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tcPr>
          <w:p w14:paraId="15E7903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31/03/20</w:t>
            </w:r>
          </w:p>
        </w:tc>
        <w:tc>
          <w:tcPr>
            <w:tcW w:w="445" w:type="pct"/>
            <w:gridSpan w:val="3"/>
            <w:tcBorders>
              <w:top w:val="nil"/>
              <w:left w:val="nil"/>
              <w:bottom w:val="single" w:sz="4" w:space="0" w:color="auto"/>
              <w:right w:val="single" w:sz="4" w:space="0" w:color="auto"/>
            </w:tcBorders>
            <w:shd w:val="clear" w:color="auto" w:fill="auto"/>
            <w:noWrap/>
            <w:vAlign w:val="center"/>
          </w:tcPr>
          <w:p w14:paraId="6F93A58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2.400 </w:t>
            </w:r>
          </w:p>
        </w:tc>
        <w:tc>
          <w:tcPr>
            <w:tcW w:w="420" w:type="pct"/>
            <w:gridSpan w:val="2"/>
            <w:tcBorders>
              <w:top w:val="nil"/>
              <w:left w:val="nil"/>
              <w:bottom w:val="single" w:sz="4" w:space="0" w:color="auto"/>
              <w:right w:val="single" w:sz="4" w:space="0" w:color="auto"/>
            </w:tcBorders>
            <w:shd w:val="clear" w:color="auto" w:fill="auto"/>
            <w:noWrap/>
            <w:vAlign w:val="center"/>
          </w:tcPr>
          <w:p w14:paraId="0E42244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1.200 </w:t>
            </w:r>
          </w:p>
        </w:tc>
        <w:tc>
          <w:tcPr>
            <w:tcW w:w="452" w:type="pct"/>
            <w:gridSpan w:val="3"/>
            <w:tcBorders>
              <w:top w:val="nil"/>
              <w:left w:val="nil"/>
              <w:bottom w:val="single" w:sz="4" w:space="0" w:color="auto"/>
              <w:right w:val="single" w:sz="4" w:space="0" w:color="auto"/>
            </w:tcBorders>
            <w:shd w:val="clear" w:color="auto" w:fill="auto"/>
            <w:noWrap/>
            <w:vAlign w:val="center"/>
          </w:tcPr>
          <w:p w14:paraId="1A778C5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2.400 </w:t>
            </w:r>
          </w:p>
        </w:tc>
        <w:tc>
          <w:tcPr>
            <w:tcW w:w="456" w:type="pct"/>
            <w:gridSpan w:val="5"/>
            <w:tcBorders>
              <w:top w:val="nil"/>
              <w:left w:val="nil"/>
              <w:bottom w:val="single" w:sz="4" w:space="0" w:color="auto"/>
              <w:right w:val="single" w:sz="4" w:space="0" w:color="auto"/>
            </w:tcBorders>
            <w:shd w:val="clear" w:color="auto" w:fill="auto"/>
            <w:noWrap/>
            <w:vAlign w:val="center"/>
          </w:tcPr>
          <w:p w14:paraId="774FD4C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1.200 </w:t>
            </w:r>
          </w:p>
        </w:tc>
        <w:tc>
          <w:tcPr>
            <w:tcW w:w="466" w:type="pct"/>
            <w:gridSpan w:val="4"/>
            <w:tcBorders>
              <w:top w:val="nil"/>
              <w:left w:val="nil"/>
              <w:bottom w:val="single" w:sz="4" w:space="0" w:color="auto"/>
              <w:right w:val="single" w:sz="4" w:space="0" w:color="auto"/>
            </w:tcBorders>
            <w:shd w:val="clear" w:color="auto" w:fill="auto"/>
            <w:noWrap/>
            <w:vAlign w:val="center"/>
          </w:tcPr>
          <w:p w14:paraId="4CA3853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473 </w:t>
            </w:r>
          </w:p>
        </w:tc>
        <w:tc>
          <w:tcPr>
            <w:tcW w:w="283" w:type="pct"/>
            <w:gridSpan w:val="3"/>
            <w:tcBorders>
              <w:top w:val="nil"/>
              <w:left w:val="nil"/>
              <w:bottom w:val="single" w:sz="4" w:space="0" w:color="auto"/>
              <w:right w:val="single" w:sz="4" w:space="0" w:color="auto"/>
            </w:tcBorders>
            <w:shd w:val="clear" w:color="auto" w:fill="auto"/>
            <w:noWrap/>
            <w:vAlign w:val="center"/>
          </w:tcPr>
          <w:p w14:paraId="383AEA4C"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3"/>
              <w:jc w:val="center"/>
              <w:rPr>
                <w:sz w:val="16"/>
                <w:szCs w:val="16"/>
              </w:rPr>
            </w:pPr>
            <w:r>
              <w:rPr>
                <w:sz w:val="16"/>
                <w:szCs w:val="16"/>
              </w:rPr>
              <w:t>39,4</w:t>
            </w:r>
          </w:p>
        </w:tc>
        <w:tc>
          <w:tcPr>
            <w:tcW w:w="464" w:type="pct"/>
            <w:gridSpan w:val="6"/>
            <w:tcBorders>
              <w:top w:val="nil"/>
              <w:left w:val="nil"/>
              <w:bottom w:val="single" w:sz="4" w:space="0" w:color="auto"/>
              <w:right w:val="single" w:sz="4" w:space="0" w:color="auto"/>
            </w:tcBorders>
            <w:shd w:val="clear" w:color="auto" w:fill="auto"/>
            <w:vAlign w:val="center"/>
          </w:tcPr>
          <w:p w14:paraId="473B327C"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sz w:val="16"/>
                <w:szCs w:val="16"/>
              </w:rPr>
            </w:pPr>
            <w:r w:rsidRPr="00A7122A">
              <w:rPr>
                <w:b/>
                <w:bCs/>
                <w:sz w:val="16"/>
                <w:szCs w:val="16"/>
              </w:rPr>
              <w:t xml:space="preserve">      -   </w:t>
            </w:r>
          </w:p>
        </w:tc>
        <w:tc>
          <w:tcPr>
            <w:tcW w:w="411" w:type="pct"/>
            <w:gridSpan w:val="3"/>
            <w:tcBorders>
              <w:top w:val="nil"/>
              <w:left w:val="nil"/>
              <w:bottom w:val="single" w:sz="4" w:space="0" w:color="auto"/>
              <w:right w:val="single" w:sz="4" w:space="0" w:color="auto"/>
            </w:tcBorders>
            <w:shd w:val="clear" w:color="auto" w:fill="auto"/>
            <w:vAlign w:val="center"/>
          </w:tcPr>
          <w:p w14:paraId="450CA6D3"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sz w:val="16"/>
                <w:szCs w:val="16"/>
              </w:rPr>
            </w:pPr>
            <w:r w:rsidRPr="00922A9B">
              <w:rPr>
                <w:rFonts w:eastAsia="Times New Roman" w:cs="Times New Roman"/>
                <w:color w:val="auto"/>
                <w:sz w:val="16"/>
                <w:szCs w:val="16"/>
                <w:bdr w:val="none" w:sz="0" w:space="0" w:color="auto"/>
                <w:lang w:val="en-GB" w:eastAsia="en-GB"/>
              </w:rPr>
              <w:t xml:space="preserve"> </w:t>
            </w:r>
            <w:r>
              <w:rPr>
                <w:rFonts w:eastAsia="Times New Roman" w:cs="Times New Roman"/>
                <w:color w:val="auto"/>
                <w:sz w:val="16"/>
                <w:szCs w:val="16"/>
                <w:bdr w:val="none" w:sz="0" w:space="0" w:color="auto"/>
                <w:lang w:val="en-GB" w:eastAsia="en-GB"/>
              </w:rPr>
              <w:t>1.633</w:t>
            </w:r>
          </w:p>
        </w:tc>
        <w:tc>
          <w:tcPr>
            <w:tcW w:w="195" w:type="pct"/>
            <w:tcBorders>
              <w:top w:val="nil"/>
              <w:left w:val="nil"/>
              <w:bottom w:val="single" w:sz="4" w:space="0" w:color="auto"/>
            </w:tcBorders>
            <w:shd w:val="clear" w:color="auto" w:fill="auto"/>
            <w:vAlign w:val="center"/>
          </w:tcPr>
          <w:p w14:paraId="1168B616" w14:textId="77777777" w:rsidR="00B326C9"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sz w:val="16"/>
                <w:szCs w:val="16"/>
              </w:rPr>
            </w:pPr>
            <w:r>
              <w:rPr>
                <w:sz w:val="16"/>
                <w:szCs w:val="16"/>
              </w:rPr>
              <w:t>77</w:t>
            </w:r>
          </w:p>
        </w:tc>
      </w:tr>
      <w:tr w:rsidR="00B326C9" w:rsidRPr="00922A9B" w14:paraId="776A7562" w14:textId="77777777" w:rsidTr="00C56F61">
        <w:trPr>
          <w:trHeight w:val="1854"/>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1368D5C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8</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37DCEFCE"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2016-IT-TM-0052</w:t>
            </w:r>
          </w:p>
          <w:p w14:paraId="31E88F7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9"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41D5D6ED" w14:textId="77777777" w:rsidR="00B326C9" w:rsidRPr="0084292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C-ROADS ITALY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p>
          <w:p w14:paraId="43A30921"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Sistemi</w:t>
            </w:r>
            <w:r>
              <w:rPr>
                <w:rFonts w:eastAsia="Times New Roman" w:cs="Times New Roman"/>
                <w:color w:val="auto"/>
                <w:sz w:val="16"/>
                <w:szCs w:val="16"/>
                <w:bdr w:val="none" w:sz="0" w:space="0" w:color="auto"/>
                <w:lang w:eastAsia="en-GB"/>
              </w:rPr>
              <w:t xml:space="preserve"> ITS cooperativi (C-ITS) per la c</w:t>
            </w:r>
            <w:r w:rsidRPr="00922A9B">
              <w:rPr>
                <w:rFonts w:eastAsia="Times New Roman" w:cs="Times New Roman"/>
                <w:color w:val="auto"/>
                <w:sz w:val="16"/>
                <w:szCs w:val="16"/>
                <w:bdr w:val="none" w:sz="0" w:space="0" w:color="auto"/>
                <w:lang w:eastAsia="en-GB"/>
              </w:rPr>
              <w:t>omunicazione tr</w:t>
            </w:r>
            <w:r>
              <w:rPr>
                <w:rFonts w:eastAsia="Times New Roman" w:cs="Times New Roman"/>
                <w:color w:val="auto"/>
                <w:sz w:val="16"/>
                <w:szCs w:val="16"/>
                <w:bdr w:val="none" w:sz="0" w:space="0" w:color="auto"/>
                <w:lang w:eastAsia="en-GB"/>
              </w:rPr>
              <w:t xml:space="preserve">a </w:t>
            </w:r>
            <w:proofErr w:type="spellStart"/>
            <w:r>
              <w:rPr>
                <w:rFonts w:eastAsia="Times New Roman" w:cs="Times New Roman"/>
                <w:color w:val="auto"/>
                <w:sz w:val="16"/>
                <w:szCs w:val="16"/>
                <w:bdr w:val="none" w:sz="0" w:space="0" w:color="auto"/>
                <w:lang w:eastAsia="en-GB"/>
              </w:rPr>
              <w:t>infrastru</w:t>
            </w:r>
            <w:r w:rsidR="00AF3C37">
              <w:rPr>
                <w:rFonts w:eastAsia="Times New Roman" w:cs="Times New Roman"/>
                <w:color w:val="auto"/>
                <w:sz w:val="16"/>
                <w:szCs w:val="16"/>
                <w:bdr w:val="none" w:sz="0" w:space="0" w:color="auto"/>
                <w:lang w:eastAsia="en-GB"/>
              </w:rPr>
              <w:t>t</w:t>
            </w:r>
            <w:proofErr w:type="spellEnd"/>
            <w:r w:rsidR="00A37335">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 xml:space="preserve">tura e veicolo, </w:t>
            </w:r>
            <w:proofErr w:type="spellStart"/>
            <w:r>
              <w:rPr>
                <w:rFonts w:eastAsia="Times New Roman" w:cs="Times New Roman"/>
                <w:color w:val="auto"/>
                <w:sz w:val="16"/>
                <w:szCs w:val="16"/>
                <w:bdr w:val="none" w:sz="0" w:space="0" w:color="auto"/>
                <w:lang w:eastAsia="en-GB"/>
              </w:rPr>
              <w:t>platooning</w:t>
            </w:r>
            <w:proofErr w:type="spellEnd"/>
            <w:r>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e guida autonoma basata su tecno</w:t>
            </w:r>
            <w:r w:rsidR="00A37335">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logie</w:t>
            </w:r>
            <w:proofErr w:type="spellEnd"/>
            <w:r w:rsidRPr="00922A9B">
              <w:rPr>
                <w:rFonts w:eastAsia="Times New Roman" w:cs="Times New Roman"/>
                <w:color w:val="auto"/>
                <w:sz w:val="16"/>
                <w:szCs w:val="16"/>
                <w:bdr w:val="none" w:sz="0" w:space="0" w:color="auto"/>
                <w:lang w:eastAsia="en-GB"/>
              </w:rPr>
              <w:t xml:space="preserve"> V2X.</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60A2185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458BD9C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20.864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212DA46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10.432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6F08840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20.864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34BD78A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10.432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63CB5BFD"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4.354</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0B94DC45"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41,7</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68D2F0F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11" w:type="pct"/>
            <w:gridSpan w:val="3"/>
            <w:tcBorders>
              <w:top w:val="single" w:sz="4" w:space="0" w:color="auto"/>
              <w:left w:val="nil"/>
              <w:bottom w:val="single" w:sz="4" w:space="0" w:color="auto"/>
              <w:right w:val="single" w:sz="4" w:space="0" w:color="auto"/>
            </w:tcBorders>
            <w:shd w:val="clear" w:color="auto" w:fill="auto"/>
            <w:vAlign w:val="center"/>
          </w:tcPr>
          <w:p w14:paraId="7F744DB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10.471</w:t>
            </w:r>
          </w:p>
        </w:tc>
        <w:tc>
          <w:tcPr>
            <w:tcW w:w="195" w:type="pct"/>
            <w:tcBorders>
              <w:top w:val="single" w:sz="4" w:space="0" w:color="auto"/>
              <w:left w:val="nil"/>
              <w:bottom w:val="single" w:sz="4" w:space="0" w:color="auto"/>
            </w:tcBorders>
            <w:shd w:val="clear" w:color="auto" w:fill="auto"/>
            <w:vAlign w:val="center"/>
          </w:tcPr>
          <w:p w14:paraId="2BD7231A" w14:textId="77777777" w:rsidR="00B326C9" w:rsidRPr="00922A9B" w:rsidRDefault="00E03ADD" w:rsidP="00BD6D24">
            <w:pPr>
              <w:pBdr>
                <w:top w:val="none" w:sz="0" w:space="0" w:color="auto"/>
                <w:left w:val="none" w:sz="0" w:space="0" w:color="auto"/>
                <w:bottom w:val="none" w:sz="0" w:space="0" w:color="auto"/>
                <w:right w:val="none" w:sz="0" w:space="0" w:color="auto"/>
                <w:between w:val="none" w:sz="0" w:space="0" w:color="auto"/>
                <w:bar w:val="none" w:sz="0" w:color="auto"/>
              </w:pBdr>
              <w:ind w:left="-109" w:right="-109"/>
              <w:jc w:val="center"/>
              <w:rPr>
                <w:rFonts w:eastAsia="Times New Roman" w:cs="Times New Roman"/>
                <w:color w:val="auto"/>
                <w:sz w:val="16"/>
                <w:szCs w:val="16"/>
                <w:bdr w:val="none" w:sz="0" w:space="0" w:color="auto"/>
                <w:lang w:val="en-GB" w:eastAsia="en-GB"/>
              </w:rPr>
            </w:pPr>
            <w:r>
              <w:rPr>
                <w:sz w:val="16"/>
                <w:szCs w:val="16"/>
              </w:rPr>
              <w:t>72</w:t>
            </w:r>
          </w:p>
        </w:tc>
      </w:tr>
      <w:tr w:rsidR="00B326C9" w:rsidRPr="00922A9B" w14:paraId="53D15256" w14:textId="77777777" w:rsidTr="00C56F61">
        <w:trPr>
          <w:cantSplit/>
          <w:trHeight w:val="1134"/>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4A2621B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9</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33E95AA7"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2017-DE-TM-0064</w:t>
            </w:r>
          </w:p>
          <w:p w14:paraId="1A47905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r w:rsidRPr="00B70F83">
              <w:rPr>
                <w:rFonts w:eastAsia="Times New Roman" w:cs="Times New Roman"/>
                <w:color w:val="auto"/>
                <w:sz w:val="16"/>
                <w:szCs w:val="16"/>
                <w:bdr w:val="none" w:sz="0" w:space="0" w:color="auto"/>
                <w:vertAlign w:val="superscript"/>
                <w:lang w:val="en-GB" w:eastAsia="en-GB"/>
              </w:rPr>
              <w:t>1</w:t>
            </w:r>
            <w:r>
              <w:rPr>
                <w:rFonts w:eastAsia="Times New Roman" w:cs="Times New Roman"/>
                <w:color w:val="auto"/>
                <w:sz w:val="16"/>
                <w:szCs w:val="16"/>
                <w:bdr w:val="none" w:sz="0" w:space="0" w:color="auto"/>
                <w:vertAlign w:val="superscript"/>
                <w:lang w:val="en-GB" w:eastAsia="en-GB"/>
              </w:rPr>
              <w:t>2</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4678FAA6"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EUROP-E -Rete </w:t>
            </w:r>
            <w:r w:rsidRPr="00922A9B">
              <w:rPr>
                <w:rFonts w:eastAsia="Times New Roman" w:cs="Times New Roman"/>
                <w:color w:val="auto"/>
                <w:sz w:val="16"/>
                <w:szCs w:val="16"/>
                <w:bdr w:val="none" w:sz="0" w:space="0" w:color="auto"/>
                <w:lang w:eastAsia="en-GB"/>
              </w:rPr>
              <w:t>paneuropea di 340 stazioni di ricarica ad alta potenza (Ultra-</w:t>
            </w:r>
            <w:proofErr w:type="spellStart"/>
            <w:r w:rsidRPr="00922A9B">
              <w:rPr>
                <w:rFonts w:eastAsia="Times New Roman" w:cs="Times New Roman"/>
                <w:color w:val="auto"/>
                <w:sz w:val="16"/>
                <w:szCs w:val="16"/>
                <w:bdr w:val="none" w:sz="0" w:space="0" w:color="auto"/>
                <w:lang w:eastAsia="en-GB"/>
              </w:rPr>
              <w:t>Charging</w:t>
            </w:r>
            <w:proofErr w:type="spellEnd"/>
            <w:r w:rsidRPr="00922A9B">
              <w:rPr>
                <w:rFonts w:eastAsia="Times New Roman" w:cs="Times New Roman"/>
                <w:color w:val="auto"/>
                <w:sz w:val="16"/>
                <w:szCs w:val="16"/>
                <w:bdr w:val="none" w:sz="0" w:space="0" w:color="auto"/>
                <w:lang w:eastAsia="en-GB"/>
              </w:rPr>
              <w:t xml:space="preserve">) (fino a 350 </w:t>
            </w:r>
            <w:r>
              <w:rPr>
                <w:rFonts w:eastAsia="Times New Roman" w:cs="Times New Roman"/>
                <w:color w:val="auto"/>
                <w:sz w:val="16"/>
                <w:szCs w:val="16"/>
                <w:bdr w:val="none" w:sz="0" w:space="0" w:color="auto"/>
                <w:lang w:eastAsia="en-GB"/>
              </w:rPr>
              <w:t xml:space="preserve">kW) in 13 Stati membri dell'UE </w:t>
            </w:r>
            <w:r w:rsidRPr="00922A9B">
              <w:rPr>
                <w:rFonts w:eastAsia="Times New Roman" w:cs="Times New Roman"/>
                <w:color w:val="auto"/>
                <w:sz w:val="16"/>
                <w:szCs w:val="16"/>
                <w:bdr w:val="none" w:sz="0" w:space="0" w:color="auto"/>
                <w:lang w:eastAsia="en-GB"/>
              </w:rPr>
              <w:t>lungo</w:t>
            </w:r>
            <w:r>
              <w:rPr>
                <w:rFonts w:eastAsia="Times New Roman" w:cs="Times New Roman"/>
                <w:color w:val="auto"/>
                <w:sz w:val="16"/>
                <w:szCs w:val="16"/>
                <w:bdr w:val="none" w:sz="0" w:space="0" w:color="auto"/>
                <w:lang w:eastAsia="en-GB"/>
              </w:rPr>
              <w:t xml:space="preserve"> i Corridoi della rete centrale (di cui 23 in Italia)</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2A34901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31/12/21</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3D89924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n.a.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61BCD32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n.a.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tcPr>
          <w:p w14:paraId="23FC7B12"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highlight w:val="green"/>
                <w:bdr w:val="none" w:sz="0" w:space="0" w:color="auto"/>
                <w:lang w:val="en-GB" w:eastAsia="en-GB"/>
              </w:rPr>
            </w:pPr>
            <w:r>
              <w:rPr>
                <w:sz w:val="16"/>
                <w:szCs w:val="16"/>
              </w:rPr>
              <w:t xml:space="preserve">195.527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tcPr>
          <w:p w14:paraId="280A3277"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highlight w:val="green"/>
                <w:bdr w:val="none" w:sz="0" w:space="0" w:color="auto"/>
                <w:lang w:val="en-GB" w:eastAsia="en-GB"/>
              </w:rPr>
            </w:pPr>
            <w:r>
              <w:rPr>
                <w:sz w:val="16"/>
                <w:szCs w:val="16"/>
              </w:rPr>
              <w:t xml:space="preserve">39.105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hideMark/>
          </w:tcPr>
          <w:p w14:paraId="2A3EB94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n.a.</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hideMark/>
          </w:tcPr>
          <w:p w14:paraId="4357900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sz w:val="16"/>
                <w:szCs w:val="16"/>
              </w:rPr>
              <w:t>n.a.</w:t>
            </w:r>
          </w:p>
        </w:tc>
        <w:tc>
          <w:tcPr>
            <w:tcW w:w="464" w:type="pct"/>
            <w:gridSpan w:val="6"/>
            <w:tcBorders>
              <w:top w:val="single" w:sz="4" w:space="0" w:color="auto"/>
              <w:left w:val="nil"/>
              <w:bottom w:val="single" w:sz="4" w:space="0" w:color="auto"/>
              <w:right w:val="single" w:sz="4" w:space="0" w:color="auto"/>
            </w:tcBorders>
            <w:shd w:val="clear" w:color="auto" w:fill="auto"/>
            <w:noWrap/>
            <w:vAlign w:val="center"/>
            <w:hideMark/>
          </w:tcPr>
          <w:p w14:paraId="113DE45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n.a. </w:t>
            </w:r>
          </w:p>
        </w:tc>
        <w:tc>
          <w:tcPr>
            <w:tcW w:w="411" w:type="pct"/>
            <w:gridSpan w:val="3"/>
            <w:tcBorders>
              <w:top w:val="single" w:sz="4" w:space="0" w:color="auto"/>
              <w:left w:val="nil"/>
              <w:bottom w:val="single" w:sz="4" w:space="0" w:color="auto"/>
              <w:right w:val="single" w:sz="4" w:space="0" w:color="auto"/>
            </w:tcBorders>
            <w:shd w:val="clear" w:color="auto" w:fill="auto"/>
            <w:noWrap/>
            <w:vAlign w:val="center"/>
            <w:hideMark/>
          </w:tcPr>
          <w:p w14:paraId="0E6EB2F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n.a. </w:t>
            </w:r>
          </w:p>
        </w:tc>
        <w:tc>
          <w:tcPr>
            <w:tcW w:w="195" w:type="pct"/>
            <w:tcBorders>
              <w:top w:val="single" w:sz="4" w:space="0" w:color="auto"/>
              <w:left w:val="nil"/>
              <w:bottom w:val="single" w:sz="4" w:space="0" w:color="auto"/>
            </w:tcBorders>
            <w:shd w:val="clear" w:color="auto" w:fill="auto"/>
            <w:vAlign w:val="center"/>
            <w:hideMark/>
          </w:tcPr>
          <w:p w14:paraId="47D50FF0" w14:textId="77777777" w:rsidR="00B326C9" w:rsidRPr="00AD39B7"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sz w:val="16"/>
                <w:szCs w:val="16"/>
                <w:bdr w:val="none" w:sz="0" w:space="0" w:color="auto"/>
                <w:lang w:val="en-GB" w:eastAsia="en-GB"/>
              </w:rPr>
            </w:pPr>
            <w:proofErr w:type="spellStart"/>
            <w:r>
              <w:rPr>
                <w:sz w:val="16"/>
                <w:szCs w:val="16"/>
              </w:rPr>
              <w:t>n.d.</w:t>
            </w:r>
            <w:proofErr w:type="spellEnd"/>
          </w:p>
        </w:tc>
      </w:tr>
      <w:tr w:rsidR="00B326C9" w:rsidRPr="00922A9B" w14:paraId="4573C871" w14:textId="77777777" w:rsidTr="00C56F61">
        <w:trPr>
          <w:trHeight w:val="2411"/>
        </w:trPr>
        <w:tc>
          <w:tcPr>
            <w:tcW w:w="230" w:type="pct"/>
            <w:tcBorders>
              <w:top w:val="nil"/>
              <w:left w:val="nil"/>
              <w:bottom w:val="single" w:sz="4" w:space="0" w:color="auto"/>
              <w:right w:val="single" w:sz="4" w:space="0" w:color="auto"/>
            </w:tcBorders>
            <w:shd w:val="clear" w:color="auto" w:fill="auto"/>
            <w:noWrap/>
            <w:vAlign w:val="center"/>
            <w:hideMark/>
          </w:tcPr>
          <w:p w14:paraId="2050998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w:t>
            </w:r>
          </w:p>
        </w:tc>
        <w:tc>
          <w:tcPr>
            <w:tcW w:w="371" w:type="pct"/>
            <w:gridSpan w:val="2"/>
            <w:tcBorders>
              <w:top w:val="nil"/>
              <w:left w:val="nil"/>
              <w:bottom w:val="single" w:sz="4" w:space="0" w:color="auto"/>
              <w:right w:val="single" w:sz="4" w:space="0" w:color="auto"/>
            </w:tcBorders>
            <w:shd w:val="clear" w:color="auto" w:fill="auto"/>
            <w:vAlign w:val="center"/>
            <w:hideMark/>
          </w:tcPr>
          <w:p w14:paraId="4F1E227C"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2017-EU-TM-0065</w:t>
            </w:r>
          </w:p>
          <w:p w14:paraId="521DDE7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5EEC58E4"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CENTRAL EUROPEAN ULTRA CHARGING - Realizzazione di una rete di </w:t>
            </w:r>
            <w:r>
              <w:rPr>
                <w:rFonts w:eastAsia="Times New Roman" w:cs="Times New Roman"/>
                <w:color w:val="auto"/>
                <w:sz w:val="16"/>
                <w:szCs w:val="16"/>
                <w:bdr w:val="none" w:sz="0" w:space="0" w:color="auto"/>
                <w:lang w:eastAsia="en-GB"/>
              </w:rPr>
              <w:t xml:space="preserve">118 </w:t>
            </w:r>
            <w:r w:rsidRPr="00922A9B">
              <w:rPr>
                <w:rFonts w:eastAsia="Times New Roman" w:cs="Times New Roman"/>
                <w:color w:val="auto"/>
                <w:sz w:val="16"/>
                <w:szCs w:val="16"/>
                <w:bdr w:val="none" w:sz="0" w:space="0" w:color="auto"/>
                <w:lang w:eastAsia="en-GB"/>
              </w:rPr>
              <w:t xml:space="preserve">stazioni di ricarica </w:t>
            </w:r>
            <w:proofErr w:type="gramStart"/>
            <w:r w:rsidRPr="00922A9B">
              <w:rPr>
                <w:rFonts w:eastAsia="Times New Roman" w:cs="Times New Roman"/>
                <w:color w:val="auto"/>
                <w:sz w:val="16"/>
                <w:szCs w:val="16"/>
                <w:bdr w:val="none" w:sz="0" w:space="0" w:color="auto"/>
                <w:lang w:eastAsia="en-GB"/>
              </w:rPr>
              <w:t>ultra</w:t>
            </w:r>
            <w:r w:rsidR="00A37335">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veloci</w:t>
            </w:r>
            <w:proofErr w:type="gramEnd"/>
            <w:r w:rsidRPr="00922A9B">
              <w:rPr>
                <w:rFonts w:eastAsia="Times New Roman" w:cs="Times New Roman"/>
                <w:color w:val="auto"/>
                <w:sz w:val="16"/>
                <w:szCs w:val="16"/>
                <w:bdr w:val="none" w:sz="0" w:space="0" w:color="auto"/>
                <w:lang w:eastAsia="en-GB"/>
              </w:rPr>
              <w:t xml:space="preserve"> in AT, CZ, HU, SK, IT</w:t>
            </w:r>
            <w:r>
              <w:rPr>
                <w:rFonts w:eastAsia="Times New Roman" w:cs="Times New Roman"/>
                <w:color w:val="auto"/>
                <w:sz w:val="16"/>
                <w:szCs w:val="16"/>
                <w:bdr w:val="none" w:sz="0" w:space="0" w:color="auto"/>
                <w:lang w:eastAsia="en-GB"/>
              </w:rPr>
              <w:t>, RO e BL (di cui 38 in Italia)</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2C1AFE9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31/05/21</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22A6BA6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19.785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714AEF4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3.957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62CAE83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61.738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1D3B430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12.348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0587FEA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283" w:type="pct"/>
            <w:gridSpan w:val="3"/>
            <w:tcBorders>
              <w:top w:val="nil"/>
              <w:left w:val="nil"/>
              <w:bottom w:val="single" w:sz="4" w:space="0" w:color="auto"/>
              <w:right w:val="single" w:sz="4" w:space="0" w:color="auto"/>
            </w:tcBorders>
            <w:shd w:val="clear" w:color="auto" w:fill="auto"/>
            <w:noWrap/>
            <w:vAlign w:val="center"/>
          </w:tcPr>
          <w:p w14:paraId="4D3FFCBE"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sz w:val="16"/>
                <w:szCs w:val="16"/>
              </w:rPr>
              <w:t>0,0</w:t>
            </w:r>
          </w:p>
        </w:tc>
        <w:tc>
          <w:tcPr>
            <w:tcW w:w="464" w:type="pct"/>
            <w:gridSpan w:val="6"/>
            <w:tcBorders>
              <w:top w:val="nil"/>
              <w:left w:val="nil"/>
              <w:bottom w:val="single" w:sz="4" w:space="0" w:color="auto"/>
              <w:right w:val="single" w:sz="4" w:space="0" w:color="auto"/>
            </w:tcBorders>
            <w:shd w:val="clear" w:color="auto" w:fill="auto"/>
            <w:vAlign w:val="center"/>
          </w:tcPr>
          <w:p w14:paraId="2ACFDCD7"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w:t>
            </w:r>
          </w:p>
        </w:tc>
        <w:tc>
          <w:tcPr>
            <w:tcW w:w="411" w:type="pct"/>
            <w:gridSpan w:val="3"/>
            <w:tcBorders>
              <w:top w:val="nil"/>
              <w:left w:val="nil"/>
              <w:bottom w:val="single" w:sz="4" w:space="0" w:color="auto"/>
              <w:right w:val="single" w:sz="4" w:space="0" w:color="auto"/>
            </w:tcBorders>
            <w:shd w:val="clear" w:color="auto" w:fill="auto"/>
            <w:vAlign w:val="center"/>
          </w:tcPr>
          <w:p w14:paraId="0357F974" w14:textId="77777777" w:rsidR="00B326C9" w:rsidRPr="002612CD"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42</w:t>
            </w:r>
          </w:p>
        </w:tc>
        <w:tc>
          <w:tcPr>
            <w:tcW w:w="195" w:type="pct"/>
            <w:tcBorders>
              <w:top w:val="nil"/>
              <w:left w:val="nil"/>
              <w:bottom w:val="single" w:sz="4" w:space="0" w:color="auto"/>
            </w:tcBorders>
            <w:shd w:val="clear" w:color="auto" w:fill="auto"/>
            <w:vAlign w:val="center"/>
          </w:tcPr>
          <w:p w14:paraId="61098658" w14:textId="77777777" w:rsidR="00B326C9" w:rsidRPr="005D4641"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sz w:val="16"/>
                <w:szCs w:val="16"/>
                <w:bdr w:val="none" w:sz="0" w:space="0" w:color="auto"/>
                <w:lang w:val="en-GB" w:eastAsia="en-GB"/>
              </w:rPr>
            </w:pPr>
            <w:r>
              <w:rPr>
                <w:rFonts w:eastAsia="Times New Roman"/>
                <w:sz w:val="16"/>
                <w:szCs w:val="16"/>
                <w:bdr w:val="none" w:sz="0" w:space="0" w:color="auto"/>
                <w:lang w:val="en-GB" w:eastAsia="en-GB"/>
              </w:rPr>
              <w:t>8</w:t>
            </w:r>
          </w:p>
        </w:tc>
      </w:tr>
      <w:tr w:rsidR="00B326C9" w:rsidRPr="00922A9B" w14:paraId="0A2946A1" w14:textId="77777777" w:rsidTr="00C56F61">
        <w:trPr>
          <w:trHeight w:val="2230"/>
        </w:trPr>
        <w:tc>
          <w:tcPr>
            <w:tcW w:w="230" w:type="pct"/>
            <w:tcBorders>
              <w:top w:val="nil"/>
              <w:left w:val="nil"/>
              <w:bottom w:val="single" w:sz="4" w:space="0" w:color="auto"/>
              <w:right w:val="single" w:sz="4" w:space="0" w:color="auto"/>
            </w:tcBorders>
            <w:shd w:val="clear" w:color="auto" w:fill="auto"/>
            <w:noWrap/>
            <w:vAlign w:val="center"/>
            <w:hideMark/>
          </w:tcPr>
          <w:p w14:paraId="05DD752A"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w:t>
            </w:r>
            <w:r w:rsidRPr="002612CD">
              <w:rPr>
                <w:rFonts w:eastAsia="Times New Roman" w:cs="Times New Roman"/>
                <w:color w:val="auto"/>
                <w:sz w:val="16"/>
                <w:szCs w:val="16"/>
                <w:bdr w:val="none" w:sz="0" w:space="0" w:color="auto"/>
                <w:lang w:eastAsia="en-GB"/>
              </w:rPr>
              <w:t>1</w:t>
            </w:r>
          </w:p>
        </w:tc>
        <w:tc>
          <w:tcPr>
            <w:tcW w:w="371" w:type="pct"/>
            <w:gridSpan w:val="2"/>
            <w:tcBorders>
              <w:top w:val="nil"/>
              <w:left w:val="nil"/>
              <w:bottom w:val="single" w:sz="4" w:space="0" w:color="auto"/>
              <w:right w:val="single" w:sz="4" w:space="0" w:color="auto"/>
            </w:tcBorders>
            <w:shd w:val="clear" w:color="auto" w:fill="auto"/>
            <w:vAlign w:val="center"/>
            <w:hideMark/>
          </w:tcPr>
          <w:p w14:paraId="1BE48522"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2017-EU-TM-0165</w:t>
            </w:r>
          </w:p>
          <w:p w14:paraId="28D417A9"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2612CD">
              <w:rPr>
                <w:rFonts w:eastAsia="Times New Roman" w:cs="Times New Roman"/>
                <w:color w:val="auto"/>
                <w:sz w:val="16"/>
                <w:szCs w:val="16"/>
                <w:bdr w:val="none" w:sz="0" w:space="0" w:color="auto"/>
                <w:lang w:eastAsia="en-GB"/>
              </w:rPr>
              <w:t>-W</w:t>
            </w:r>
            <w:r>
              <w:rPr>
                <w:rFonts w:eastAsia="Times New Roman" w:cs="Times New Roman"/>
                <w:color w:val="auto"/>
                <w:sz w:val="16"/>
                <w:szCs w:val="16"/>
                <w:bdr w:val="none" w:sz="0" w:space="0" w:color="auto"/>
                <w:vertAlign w:val="superscript"/>
                <w:lang w:val="en-GB" w:eastAsia="en-GB"/>
              </w:rPr>
              <w:t>12</w:t>
            </w:r>
          </w:p>
        </w:tc>
        <w:tc>
          <w:tcPr>
            <w:tcW w:w="587" w:type="pct"/>
            <w:gridSpan w:val="2"/>
            <w:tcBorders>
              <w:top w:val="nil"/>
              <w:left w:val="nil"/>
              <w:bottom w:val="single" w:sz="4" w:space="0" w:color="auto"/>
              <w:right w:val="single" w:sz="4" w:space="0" w:color="auto"/>
            </w:tcBorders>
            <w:shd w:val="clear" w:color="auto" w:fill="auto"/>
            <w:vAlign w:val="center"/>
            <w:hideMark/>
          </w:tcPr>
          <w:p w14:paraId="6B9C6B9C" w14:textId="77777777" w:rsidR="00B326C9" w:rsidRPr="00B70F83" w:rsidRDefault="00B326C9"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MULTI-E: Iniziative multiple di trasporto urbano e di lunga </w:t>
            </w:r>
            <w:proofErr w:type="gramStart"/>
            <w:r w:rsidRPr="00922A9B">
              <w:rPr>
                <w:rFonts w:eastAsia="Times New Roman" w:cs="Times New Roman"/>
                <w:color w:val="auto"/>
                <w:sz w:val="16"/>
                <w:szCs w:val="16"/>
                <w:bdr w:val="none" w:sz="0" w:space="0" w:color="auto"/>
                <w:lang w:eastAsia="en-GB"/>
              </w:rPr>
              <w:t>distanza  -</w:t>
            </w:r>
            <w:proofErr w:type="gramEnd"/>
            <w:r w:rsidR="00A37335">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 xml:space="preserve">stazioni di ricarica </w:t>
            </w:r>
            <w:proofErr w:type="spellStart"/>
            <w:r w:rsidRPr="00922A9B">
              <w:rPr>
                <w:rFonts w:eastAsia="Times New Roman" w:cs="Times New Roman"/>
                <w:color w:val="auto"/>
                <w:sz w:val="16"/>
                <w:szCs w:val="16"/>
                <w:bdr w:val="none" w:sz="0" w:space="0" w:color="auto"/>
                <w:lang w:eastAsia="en-GB"/>
              </w:rPr>
              <w:t>Ele</w:t>
            </w:r>
            <w:r w:rsidR="00AF3C37">
              <w:rPr>
                <w:rFonts w:eastAsia="Times New Roman" w:cs="Times New Roman"/>
                <w:color w:val="auto"/>
                <w:sz w:val="16"/>
                <w:szCs w:val="16"/>
                <w:bdr w:val="none" w:sz="0" w:space="0" w:color="auto"/>
                <w:lang w:eastAsia="en-GB"/>
              </w:rPr>
              <w:t>t</w:t>
            </w:r>
            <w:r w:rsidR="00A37335">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trica</w:t>
            </w:r>
            <w:proofErr w:type="spellEnd"/>
            <w:r>
              <w:rPr>
                <w:rFonts w:eastAsia="Times New Roman" w:cs="Times New Roman"/>
                <w:color w:val="auto"/>
                <w:sz w:val="16"/>
                <w:szCs w:val="16"/>
                <w:bdr w:val="none" w:sz="0" w:space="0" w:color="auto"/>
                <w:lang w:eastAsia="en-GB"/>
              </w:rPr>
              <w:t xml:space="preserve"> e </w:t>
            </w:r>
            <w:r w:rsidR="002D4FDD">
              <w:rPr>
                <w:rFonts w:eastAsia="Times New Roman" w:cs="Times New Roman"/>
                <w:color w:val="auto"/>
                <w:sz w:val="16"/>
                <w:szCs w:val="16"/>
                <w:bdr w:val="none" w:sz="0" w:space="0" w:color="auto"/>
                <w:lang w:eastAsia="en-GB"/>
              </w:rPr>
              <w:t>GNC</w:t>
            </w:r>
            <w:r>
              <w:rPr>
                <w:rFonts w:eastAsia="Times New Roman" w:cs="Times New Roman"/>
                <w:color w:val="auto"/>
                <w:sz w:val="16"/>
                <w:szCs w:val="16"/>
                <w:bdr w:val="none" w:sz="0" w:space="0" w:color="auto"/>
                <w:lang w:eastAsia="en-GB"/>
              </w:rPr>
              <w:t xml:space="preserve"> -Gas Naturale Compresso</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6AD928D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31/12/23</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2801CDC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53E4D">
              <w:rPr>
                <w:rFonts w:eastAsia="Times New Roman" w:cs="Times New Roman"/>
                <w:color w:val="auto"/>
                <w:sz w:val="16"/>
                <w:szCs w:val="16"/>
                <w:bdr w:val="none" w:sz="0" w:space="0" w:color="auto"/>
                <w:lang w:val="en-GB" w:eastAsia="en-GB"/>
              </w:rPr>
              <w:t xml:space="preserve"> </w:t>
            </w:r>
            <w:proofErr w:type="spellStart"/>
            <w:r w:rsidRPr="00853E4D">
              <w:rPr>
                <w:rFonts w:eastAsia="Times New Roman" w:cs="Times New Roman"/>
                <w:color w:val="auto"/>
                <w:sz w:val="16"/>
                <w:szCs w:val="16"/>
                <w:bdr w:val="none" w:sz="0" w:space="0" w:color="auto"/>
                <w:lang w:val="en-GB" w:eastAsia="en-GB"/>
              </w:rPr>
              <w:t>n.a.</w:t>
            </w:r>
            <w:proofErr w:type="spellEnd"/>
            <w:r w:rsidRPr="00853E4D">
              <w:rPr>
                <w:rFonts w:eastAsia="Times New Roman" w:cs="Times New Roman"/>
                <w:color w:val="auto"/>
                <w:sz w:val="16"/>
                <w:szCs w:val="16"/>
                <w:bdr w:val="none" w:sz="0" w:space="0" w:color="auto"/>
                <w:lang w:val="en-GB" w:eastAsia="en-GB"/>
              </w:rPr>
              <w:t xml:space="preserve">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683F176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53E4D">
              <w:rPr>
                <w:rFonts w:eastAsia="Times New Roman" w:cs="Times New Roman"/>
                <w:color w:val="auto"/>
                <w:sz w:val="16"/>
                <w:szCs w:val="16"/>
                <w:bdr w:val="none" w:sz="0" w:space="0" w:color="auto"/>
                <w:lang w:val="en-GB" w:eastAsia="en-GB"/>
              </w:rPr>
              <w:t xml:space="preserve"> </w:t>
            </w:r>
            <w:proofErr w:type="spellStart"/>
            <w:r w:rsidRPr="00853E4D">
              <w:rPr>
                <w:rFonts w:eastAsia="Times New Roman" w:cs="Times New Roman"/>
                <w:color w:val="auto"/>
                <w:sz w:val="16"/>
                <w:szCs w:val="16"/>
                <w:bdr w:val="none" w:sz="0" w:space="0" w:color="auto"/>
                <w:lang w:val="en-GB" w:eastAsia="en-GB"/>
              </w:rPr>
              <w:t>n.a.</w:t>
            </w:r>
            <w:proofErr w:type="spellEnd"/>
            <w:r w:rsidRPr="00853E4D">
              <w:rPr>
                <w:rFonts w:eastAsia="Times New Roman" w:cs="Times New Roman"/>
                <w:color w:val="auto"/>
                <w:sz w:val="16"/>
                <w:szCs w:val="16"/>
                <w:bdr w:val="none" w:sz="0" w:space="0" w:color="auto"/>
                <w:lang w:val="en-GB" w:eastAsia="en-GB"/>
              </w:rPr>
              <w:t xml:space="preserve">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57712C98" w14:textId="77777777" w:rsidR="00B326C9" w:rsidRPr="00853E4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64.532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2BC8B82F" w14:textId="77777777" w:rsidR="00B326C9" w:rsidRPr="00853E4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12.906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4E4EAB4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proofErr w:type="spellStart"/>
            <w:r w:rsidRPr="00853E4D">
              <w:rPr>
                <w:rFonts w:eastAsia="Times New Roman" w:cs="Times New Roman"/>
                <w:color w:val="auto"/>
                <w:sz w:val="16"/>
                <w:szCs w:val="16"/>
                <w:bdr w:val="none" w:sz="0" w:space="0" w:color="auto"/>
                <w:lang w:val="en-GB" w:eastAsia="en-GB"/>
              </w:rPr>
              <w:t>n.a.</w:t>
            </w:r>
            <w:proofErr w:type="spellEnd"/>
          </w:p>
        </w:tc>
        <w:tc>
          <w:tcPr>
            <w:tcW w:w="283" w:type="pct"/>
            <w:gridSpan w:val="3"/>
            <w:tcBorders>
              <w:top w:val="nil"/>
              <w:left w:val="nil"/>
              <w:bottom w:val="single" w:sz="4" w:space="0" w:color="auto"/>
              <w:right w:val="single" w:sz="4" w:space="0" w:color="auto"/>
            </w:tcBorders>
            <w:shd w:val="clear" w:color="auto" w:fill="auto"/>
            <w:noWrap/>
            <w:vAlign w:val="center"/>
            <w:hideMark/>
          </w:tcPr>
          <w:p w14:paraId="3B0EAD1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sz w:val="16"/>
                <w:szCs w:val="16"/>
              </w:rPr>
              <w:t>n.a.</w:t>
            </w:r>
          </w:p>
        </w:tc>
        <w:tc>
          <w:tcPr>
            <w:tcW w:w="464" w:type="pct"/>
            <w:gridSpan w:val="6"/>
            <w:tcBorders>
              <w:top w:val="nil"/>
              <w:left w:val="nil"/>
              <w:bottom w:val="single" w:sz="4" w:space="0" w:color="auto"/>
              <w:right w:val="single" w:sz="4" w:space="0" w:color="auto"/>
            </w:tcBorders>
            <w:shd w:val="clear" w:color="auto" w:fill="auto"/>
            <w:noWrap/>
            <w:vAlign w:val="center"/>
            <w:hideMark/>
          </w:tcPr>
          <w:p w14:paraId="3D126E4C" w14:textId="77777777" w:rsidR="00B326C9" w:rsidRPr="00922A9B" w:rsidRDefault="00DB3F5D"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w:t>
            </w:r>
            <w:proofErr w:type="spellStart"/>
            <w:r>
              <w:rPr>
                <w:rFonts w:eastAsia="Times New Roman" w:cs="Times New Roman"/>
                <w:color w:val="auto"/>
                <w:sz w:val="16"/>
                <w:szCs w:val="16"/>
                <w:bdr w:val="none" w:sz="0" w:space="0" w:color="auto"/>
                <w:lang w:val="en-GB" w:eastAsia="en-GB"/>
              </w:rPr>
              <w:t>n.a</w:t>
            </w:r>
            <w:r w:rsidR="00B326C9" w:rsidRPr="00853E4D">
              <w:rPr>
                <w:rFonts w:eastAsia="Times New Roman" w:cs="Times New Roman"/>
                <w:color w:val="auto"/>
                <w:sz w:val="16"/>
                <w:szCs w:val="16"/>
                <w:bdr w:val="none" w:sz="0" w:space="0" w:color="auto"/>
                <w:lang w:val="en-GB" w:eastAsia="en-GB"/>
              </w:rPr>
              <w:t>.</w:t>
            </w:r>
            <w:proofErr w:type="spellEnd"/>
            <w:r w:rsidR="00B326C9" w:rsidRPr="00853E4D">
              <w:rPr>
                <w:rFonts w:eastAsia="Times New Roman" w:cs="Times New Roman"/>
                <w:color w:val="auto"/>
                <w:sz w:val="16"/>
                <w:szCs w:val="16"/>
                <w:bdr w:val="none" w:sz="0" w:space="0" w:color="auto"/>
                <w:lang w:val="en-GB" w:eastAsia="en-GB"/>
              </w:rPr>
              <w:t xml:space="preserve"> </w:t>
            </w:r>
          </w:p>
        </w:tc>
        <w:tc>
          <w:tcPr>
            <w:tcW w:w="411" w:type="pct"/>
            <w:gridSpan w:val="3"/>
            <w:tcBorders>
              <w:top w:val="nil"/>
              <w:left w:val="nil"/>
              <w:bottom w:val="single" w:sz="4" w:space="0" w:color="auto"/>
              <w:right w:val="single" w:sz="4" w:space="0" w:color="auto"/>
            </w:tcBorders>
            <w:shd w:val="clear" w:color="auto" w:fill="auto"/>
            <w:noWrap/>
            <w:vAlign w:val="center"/>
            <w:hideMark/>
          </w:tcPr>
          <w:p w14:paraId="071E1C8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53E4D">
              <w:rPr>
                <w:rFonts w:eastAsia="Times New Roman" w:cs="Times New Roman"/>
                <w:color w:val="auto"/>
                <w:sz w:val="16"/>
                <w:szCs w:val="16"/>
                <w:bdr w:val="none" w:sz="0" w:space="0" w:color="auto"/>
                <w:lang w:val="en-GB" w:eastAsia="en-GB"/>
              </w:rPr>
              <w:t xml:space="preserve"> </w:t>
            </w:r>
            <w:proofErr w:type="spellStart"/>
            <w:r w:rsidRPr="00853E4D">
              <w:rPr>
                <w:rFonts w:eastAsia="Times New Roman" w:cs="Times New Roman"/>
                <w:color w:val="auto"/>
                <w:sz w:val="16"/>
                <w:szCs w:val="16"/>
                <w:bdr w:val="none" w:sz="0" w:space="0" w:color="auto"/>
                <w:lang w:val="en-GB" w:eastAsia="en-GB"/>
              </w:rPr>
              <w:t>n.a.</w:t>
            </w:r>
            <w:proofErr w:type="spellEnd"/>
            <w:r w:rsidRPr="00853E4D">
              <w:rPr>
                <w:rFonts w:eastAsia="Times New Roman" w:cs="Times New Roman"/>
                <w:color w:val="auto"/>
                <w:sz w:val="16"/>
                <w:szCs w:val="16"/>
                <w:bdr w:val="none" w:sz="0" w:space="0" w:color="auto"/>
                <w:lang w:val="en-GB" w:eastAsia="en-GB"/>
              </w:rPr>
              <w:t xml:space="preserve"> </w:t>
            </w:r>
          </w:p>
        </w:tc>
        <w:tc>
          <w:tcPr>
            <w:tcW w:w="195" w:type="pct"/>
            <w:tcBorders>
              <w:top w:val="nil"/>
              <w:left w:val="nil"/>
              <w:bottom w:val="single" w:sz="4" w:space="0" w:color="auto"/>
            </w:tcBorders>
            <w:shd w:val="clear" w:color="auto" w:fill="auto"/>
            <w:vAlign w:val="center"/>
          </w:tcPr>
          <w:p w14:paraId="2938FC06" w14:textId="77777777" w:rsidR="00B326C9" w:rsidRPr="005D4641"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sz w:val="16"/>
                <w:szCs w:val="16"/>
                <w:bdr w:val="none" w:sz="0" w:space="0" w:color="auto"/>
                <w:lang w:val="en-GB" w:eastAsia="en-GB"/>
              </w:rPr>
            </w:pPr>
            <w:proofErr w:type="spellStart"/>
            <w:r w:rsidRPr="005D4641">
              <w:rPr>
                <w:sz w:val="16"/>
                <w:szCs w:val="16"/>
              </w:rPr>
              <w:t>n.d.</w:t>
            </w:r>
            <w:proofErr w:type="spellEnd"/>
          </w:p>
        </w:tc>
      </w:tr>
      <w:tr w:rsidR="00B326C9" w:rsidRPr="00922A9B" w14:paraId="12B91D6F"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hideMark/>
          </w:tcPr>
          <w:p w14:paraId="6C8736C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lastRenderedPageBreak/>
              <w:t>2</w:t>
            </w:r>
            <w:r>
              <w:rPr>
                <w:rFonts w:eastAsia="Times New Roman" w:cs="Times New Roman"/>
                <w:color w:val="auto"/>
                <w:sz w:val="16"/>
                <w:szCs w:val="16"/>
                <w:bdr w:val="none" w:sz="0" w:space="0" w:color="auto"/>
                <w:lang w:val="en-GB" w:eastAsia="en-GB"/>
              </w:rPr>
              <w:t>2</w:t>
            </w:r>
          </w:p>
        </w:tc>
        <w:tc>
          <w:tcPr>
            <w:tcW w:w="371" w:type="pct"/>
            <w:gridSpan w:val="2"/>
            <w:tcBorders>
              <w:top w:val="nil"/>
              <w:left w:val="nil"/>
              <w:bottom w:val="single" w:sz="4" w:space="0" w:color="auto"/>
              <w:right w:val="single" w:sz="4" w:space="0" w:color="auto"/>
            </w:tcBorders>
            <w:shd w:val="clear" w:color="auto" w:fill="auto"/>
            <w:vAlign w:val="center"/>
            <w:hideMark/>
          </w:tcPr>
          <w:p w14:paraId="1A4E25A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2017-FR-TM-0034</w:t>
            </w:r>
          </w:p>
          <w:p w14:paraId="4308112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r w:rsidRPr="005C3E23">
              <w:rPr>
                <w:rFonts w:eastAsia="Times New Roman" w:cs="Times New Roman"/>
                <w:color w:val="auto"/>
                <w:sz w:val="16"/>
                <w:szCs w:val="16"/>
                <w:bdr w:val="none" w:sz="0" w:space="0" w:color="auto"/>
                <w:vertAlign w:val="superscript"/>
                <w:lang w:val="en-GB" w:eastAsia="en-GB"/>
              </w:rPr>
              <w:t>1</w:t>
            </w:r>
            <w:r>
              <w:rPr>
                <w:rFonts w:eastAsia="Times New Roman" w:cs="Times New Roman"/>
                <w:color w:val="auto"/>
                <w:sz w:val="16"/>
                <w:szCs w:val="16"/>
                <w:bdr w:val="none" w:sz="0" w:space="0" w:color="auto"/>
                <w:vertAlign w:val="superscript"/>
                <w:lang w:val="en-GB" w:eastAsia="en-GB"/>
              </w:rPr>
              <w:t>2</w:t>
            </w:r>
          </w:p>
        </w:tc>
        <w:tc>
          <w:tcPr>
            <w:tcW w:w="587" w:type="pct"/>
            <w:gridSpan w:val="2"/>
            <w:tcBorders>
              <w:top w:val="nil"/>
              <w:left w:val="nil"/>
              <w:bottom w:val="single" w:sz="4" w:space="0" w:color="auto"/>
              <w:right w:val="single" w:sz="4" w:space="0" w:color="auto"/>
            </w:tcBorders>
            <w:shd w:val="clear" w:color="auto" w:fill="auto"/>
            <w:vAlign w:val="center"/>
            <w:hideMark/>
          </w:tcPr>
          <w:p w14:paraId="2787AF16" w14:textId="77777777" w:rsidR="00B326C9" w:rsidRPr="00B70F83" w:rsidRDefault="00B326C9" w:rsidP="00A37335">
            <w:pPr>
              <w:pBdr>
                <w:top w:val="none" w:sz="0" w:space="0" w:color="auto"/>
                <w:left w:val="none" w:sz="0" w:space="0" w:color="auto"/>
                <w:bottom w:val="none" w:sz="0" w:space="0" w:color="auto"/>
                <w:right w:val="none" w:sz="0" w:space="0" w:color="auto"/>
                <w:between w:val="none" w:sz="0" w:space="0" w:color="auto"/>
                <w:bar w:val="none" w:sz="0" w:color="auto"/>
              </w:pBdr>
              <w:ind w:left="-44" w:right="-95"/>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BLUE STATION NETWORK - realizzazione di 15 stazioni multi-</w:t>
            </w:r>
            <w:proofErr w:type="spellStart"/>
            <w:r w:rsidRPr="00922A9B">
              <w:rPr>
                <w:rFonts w:eastAsia="Times New Roman" w:cs="Times New Roman"/>
                <w:color w:val="auto"/>
                <w:sz w:val="16"/>
                <w:szCs w:val="16"/>
                <w:bdr w:val="none" w:sz="0" w:space="0" w:color="auto"/>
                <w:lang w:eastAsia="en-GB"/>
              </w:rPr>
              <w:t>fuel</w:t>
            </w:r>
            <w:proofErr w:type="spellEnd"/>
            <w:r w:rsidRPr="00922A9B">
              <w:rPr>
                <w:rFonts w:eastAsia="Times New Roman" w:cs="Times New Roman"/>
                <w:color w:val="auto"/>
                <w:sz w:val="16"/>
                <w:szCs w:val="16"/>
                <w:bdr w:val="none" w:sz="0" w:space="0" w:color="auto"/>
                <w:lang w:eastAsia="en-GB"/>
              </w:rPr>
              <w:t xml:space="preserve"> innovati</w:t>
            </w:r>
            <w:r>
              <w:rPr>
                <w:rFonts w:eastAsia="Times New Roman" w:cs="Times New Roman"/>
                <w:color w:val="auto"/>
                <w:sz w:val="16"/>
                <w:szCs w:val="16"/>
                <w:bdr w:val="none" w:sz="0" w:space="0" w:color="auto"/>
                <w:lang w:eastAsia="en-GB"/>
              </w:rPr>
              <w:t>ve in Francia (11), Italia (2),</w:t>
            </w:r>
            <w:r w:rsidRPr="00922A9B">
              <w:rPr>
                <w:rFonts w:eastAsia="Times New Roman" w:cs="Times New Roman"/>
                <w:color w:val="auto"/>
                <w:sz w:val="16"/>
                <w:szCs w:val="16"/>
                <w:bdr w:val="none" w:sz="0" w:space="0" w:color="auto"/>
                <w:lang w:eastAsia="en-GB"/>
              </w:rPr>
              <w:t xml:space="preserve"> UK (2</w:t>
            </w:r>
            <w:r>
              <w:rPr>
                <w:rFonts w:eastAsia="Times New Roman" w:cs="Times New Roman"/>
                <w:color w:val="auto"/>
                <w:sz w:val="16"/>
                <w:szCs w:val="16"/>
                <w:bdr w:val="none" w:sz="0" w:space="0" w:color="auto"/>
                <w:lang w:eastAsia="en-GB"/>
              </w:rPr>
              <w:t>)</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1B549A4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17AEC9D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53E4D">
              <w:rPr>
                <w:rFonts w:eastAsia="Times New Roman" w:cs="Times New Roman"/>
                <w:color w:val="auto"/>
                <w:sz w:val="16"/>
                <w:szCs w:val="16"/>
                <w:bdr w:val="none" w:sz="0" w:space="0" w:color="auto"/>
                <w:lang w:val="en-GB" w:eastAsia="en-GB"/>
              </w:rPr>
              <w:t xml:space="preserve"> </w:t>
            </w:r>
            <w:proofErr w:type="spellStart"/>
            <w:r w:rsidRPr="00853E4D">
              <w:rPr>
                <w:rFonts w:eastAsia="Times New Roman" w:cs="Times New Roman"/>
                <w:color w:val="auto"/>
                <w:sz w:val="16"/>
                <w:szCs w:val="16"/>
                <w:bdr w:val="none" w:sz="0" w:space="0" w:color="auto"/>
                <w:lang w:val="en-GB" w:eastAsia="en-GB"/>
              </w:rPr>
              <w:t>n.a.</w:t>
            </w:r>
            <w:proofErr w:type="spellEnd"/>
            <w:r w:rsidRPr="00853E4D">
              <w:rPr>
                <w:rFonts w:eastAsia="Times New Roman" w:cs="Times New Roman"/>
                <w:color w:val="auto"/>
                <w:sz w:val="16"/>
                <w:szCs w:val="16"/>
                <w:bdr w:val="none" w:sz="0" w:space="0" w:color="auto"/>
                <w:lang w:val="en-GB" w:eastAsia="en-GB"/>
              </w:rPr>
              <w:t xml:space="preserve">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278129B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53E4D">
              <w:rPr>
                <w:rFonts w:eastAsia="Times New Roman" w:cs="Times New Roman"/>
                <w:color w:val="auto"/>
                <w:sz w:val="16"/>
                <w:szCs w:val="16"/>
                <w:bdr w:val="none" w:sz="0" w:space="0" w:color="auto"/>
                <w:lang w:val="en-GB" w:eastAsia="en-GB"/>
              </w:rPr>
              <w:t xml:space="preserve"> </w:t>
            </w:r>
            <w:proofErr w:type="spellStart"/>
            <w:r w:rsidRPr="00853E4D">
              <w:rPr>
                <w:rFonts w:eastAsia="Times New Roman" w:cs="Times New Roman"/>
                <w:color w:val="auto"/>
                <w:sz w:val="16"/>
                <w:szCs w:val="16"/>
                <w:bdr w:val="none" w:sz="0" w:space="0" w:color="auto"/>
                <w:lang w:val="en-GB" w:eastAsia="en-GB"/>
              </w:rPr>
              <w:t>n.a.</w:t>
            </w:r>
            <w:proofErr w:type="spellEnd"/>
            <w:r w:rsidRPr="00853E4D">
              <w:rPr>
                <w:rFonts w:eastAsia="Times New Roman" w:cs="Times New Roman"/>
                <w:color w:val="auto"/>
                <w:sz w:val="16"/>
                <w:szCs w:val="16"/>
                <w:bdr w:val="none" w:sz="0" w:space="0" w:color="auto"/>
                <w:lang w:val="en-GB" w:eastAsia="en-GB"/>
              </w:rPr>
              <w:t xml:space="preserve">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212A6D09" w14:textId="77777777" w:rsidR="00B326C9" w:rsidRPr="00853E4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27.275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73A5A90A" w14:textId="77777777" w:rsidR="00B326C9" w:rsidRPr="00853E4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5.455 </w:t>
            </w:r>
          </w:p>
        </w:tc>
        <w:tc>
          <w:tcPr>
            <w:tcW w:w="466" w:type="pct"/>
            <w:gridSpan w:val="4"/>
            <w:tcBorders>
              <w:top w:val="nil"/>
              <w:left w:val="nil"/>
              <w:bottom w:val="single" w:sz="4" w:space="0" w:color="auto"/>
              <w:right w:val="single" w:sz="4" w:space="0" w:color="auto"/>
            </w:tcBorders>
            <w:shd w:val="clear" w:color="auto" w:fill="auto"/>
            <w:noWrap/>
            <w:vAlign w:val="center"/>
            <w:hideMark/>
          </w:tcPr>
          <w:p w14:paraId="3552DC5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proofErr w:type="spellStart"/>
            <w:r w:rsidRPr="00853E4D">
              <w:rPr>
                <w:rFonts w:eastAsia="Times New Roman" w:cs="Times New Roman"/>
                <w:color w:val="auto"/>
                <w:sz w:val="16"/>
                <w:szCs w:val="16"/>
                <w:bdr w:val="none" w:sz="0" w:space="0" w:color="auto"/>
                <w:lang w:val="en-GB" w:eastAsia="en-GB"/>
              </w:rPr>
              <w:t>n.a.</w:t>
            </w:r>
            <w:proofErr w:type="spellEnd"/>
          </w:p>
        </w:tc>
        <w:tc>
          <w:tcPr>
            <w:tcW w:w="283" w:type="pct"/>
            <w:gridSpan w:val="3"/>
            <w:tcBorders>
              <w:top w:val="nil"/>
              <w:left w:val="nil"/>
              <w:bottom w:val="single" w:sz="4" w:space="0" w:color="auto"/>
              <w:right w:val="single" w:sz="4" w:space="0" w:color="auto"/>
            </w:tcBorders>
            <w:shd w:val="clear" w:color="auto" w:fill="auto"/>
            <w:noWrap/>
            <w:vAlign w:val="center"/>
            <w:hideMark/>
          </w:tcPr>
          <w:p w14:paraId="46DCE62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sz w:val="16"/>
                <w:szCs w:val="16"/>
              </w:rPr>
              <w:t>n.</w:t>
            </w:r>
            <w:r w:rsidR="008D2BD8">
              <w:rPr>
                <w:sz w:val="16"/>
                <w:szCs w:val="16"/>
              </w:rPr>
              <w:t>a</w:t>
            </w:r>
            <w:r>
              <w:rPr>
                <w:sz w:val="16"/>
                <w:szCs w:val="16"/>
              </w:rPr>
              <w:t>.</w:t>
            </w:r>
          </w:p>
        </w:tc>
        <w:tc>
          <w:tcPr>
            <w:tcW w:w="464" w:type="pct"/>
            <w:gridSpan w:val="6"/>
            <w:tcBorders>
              <w:top w:val="nil"/>
              <w:left w:val="nil"/>
              <w:bottom w:val="single" w:sz="4" w:space="0" w:color="auto"/>
              <w:right w:val="single" w:sz="4" w:space="0" w:color="auto"/>
            </w:tcBorders>
            <w:shd w:val="clear" w:color="auto" w:fill="auto"/>
            <w:noWrap/>
            <w:vAlign w:val="center"/>
            <w:hideMark/>
          </w:tcPr>
          <w:p w14:paraId="237738FF" w14:textId="77777777" w:rsidR="00B326C9" w:rsidRPr="00922A9B" w:rsidRDefault="008D2BD8"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xml:space="preserve"> </w:t>
            </w:r>
            <w:proofErr w:type="spellStart"/>
            <w:r>
              <w:rPr>
                <w:rFonts w:eastAsia="Times New Roman" w:cs="Times New Roman"/>
                <w:color w:val="auto"/>
                <w:sz w:val="16"/>
                <w:szCs w:val="16"/>
                <w:bdr w:val="none" w:sz="0" w:space="0" w:color="auto"/>
                <w:lang w:val="en-GB" w:eastAsia="en-GB"/>
              </w:rPr>
              <w:t>n.a</w:t>
            </w:r>
            <w:r w:rsidR="00B326C9" w:rsidRPr="00853E4D">
              <w:rPr>
                <w:rFonts w:eastAsia="Times New Roman" w:cs="Times New Roman"/>
                <w:color w:val="auto"/>
                <w:sz w:val="16"/>
                <w:szCs w:val="16"/>
                <w:bdr w:val="none" w:sz="0" w:space="0" w:color="auto"/>
                <w:lang w:val="en-GB" w:eastAsia="en-GB"/>
              </w:rPr>
              <w:t>.</w:t>
            </w:r>
            <w:proofErr w:type="spellEnd"/>
            <w:r w:rsidR="00B326C9" w:rsidRPr="00853E4D">
              <w:rPr>
                <w:rFonts w:eastAsia="Times New Roman" w:cs="Times New Roman"/>
                <w:color w:val="auto"/>
                <w:sz w:val="16"/>
                <w:szCs w:val="16"/>
                <w:bdr w:val="none" w:sz="0" w:space="0" w:color="auto"/>
                <w:lang w:val="en-GB" w:eastAsia="en-GB"/>
              </w:rPr>
              <w:t xml:space="preserve"> </w:t>
            </w:r>
          </w:p>
        </w:tc>
        <w:tc>
          <w:tcPr>
            <w:tcW w:w="411" w:type="pct"/>
            <w:gridSpan w:val="3"/>
            <w:tcBorders>
              <w:top w:val="nil"/>
              <w:left w:val="nil"/>
              <w:bottom w:val="single" w:sz="4" w:space="0" w:color="auto"/>
              <w:right w:val="single" w:sz="4" w:space="0" w:color="auto"/>
            </w:tcBorders>
            <w:shd w:val="clear" w:color="auto" w:fill="auto"/>
            <w:noWrap/>
            <w:vAlign w:val="center"/>
            <w:hideMark/>
          </w:tcPr>
          <w:p w14:paraId="2FD250A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853E4D">
              <w:rPr>
                <w:rFonts w:eastAsia="Times New Roman" w:cs="Times New Roman"/>
                <w:color w:val="auto"/>
                <w:sz w:val="16"/>
                <w:szCs w:val="16"/>
                <w:bdr w:val="none" w:sz="0" w:space="0" w:color="auto"/>
                <w:lang w:val="en-GB" w:eastAsia="en-GB"/>
              </w:rPr>
              <w:t xml:space="preserve"> </w:t>
            </w:r>
            <w:proofErr w:type="spellStart"/>
            <w:r w:rsidRPr="00853E4D">
              <w:rPr>
                <w:rFonts w:eastAsia="Times New Roman" w:cs="Times New Roman"/>
                <w:color w:val="auto"/>
                <w:sz w:val="16"/>
                <w:szCs w:val="16"/>
                <w:bdr w:val="none" w:sz="0" w:space="0" w:color="auto"/>
                <w:lang w:val="en-GB" w:eastAsia="en-GB"/>
              </w:rPr>
              <w:t>n.a.</w:t>
            </w:r>
            <w:proofErr w:type="spellEnd"/>
            <w:r w:rsidRPr="00853E4D">
              <w:rPr>
                <w:rFonts w:eastAsia="Times New Roman" w:cs="Times New Roman"/>
                <w:color w:val="auto"/>
                <w:sz w:val="16"/>
                <w:szCs w:val="16"/>
                <w:bdr w:val="none" w:sz="0" w:space="0" w:color="auto"/>
                <w:lang w:val="en-GB" w:eastAsia="en-GB"/>
              </w:rPr>
              <w:t xml:space="preserve"> </w:t>
            </w:r>
          </w:p>
        </w:tc>
        <w:tc>
          <w:tcPr>
            <w:tcW w:w="195" w:type="pct"/>
            <w:tcBorders>
              <w:top w:val="nil"/>
              <w:left w:val="nil"/>
              <w:bottom w:val="single" w:sz="4" w:space="0" w:color="auto"/>
            </w:tcBorders>
            <w:shd w:val="clear" w:color="auto" w:fill="auto"/>
            <w:vAlign w:val="center"/>
            <w:hideMark/>
          </w:tcPr>
          <w:p w14:paraId="326CCB1E" w14:textId="77777777" w:rsidR="00B326C9" w:rsidRPr="005D4641"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sz w:val="16"/>
                <w:szCs w:val="16"/>
                <w:bdr w:val="none" w:sz="0" w:space="0" w:color="auto"/>
                <w:lang w:val="en-GB" w:eastAsia="en-GB"/>
              </w:rPr>
            </w:pPr>
            <w:proofErr w:type="spellStart"/>
            <w:r w:rsidRPr="005D4641">
              <w:rPr>
                <w:sz w:val="16"/>
                <w:szCs w:val="16"/>
              </w:rPr>
              <w:t>n.d.</w:t>
            </w:r>
            <w:proofErr w:type="spellEnd"/>
          </w:p>
        </w:tc>
      </w:tr>
      <w:tr w:rsidR="00B326C9" w:rsidRPr="00922A9B" w14:paraId="5975FD31" w14:textId="77777777" w:rsidTr="00C56F61">
        <w:trPr>
          <w:trHeight w:val="735"/>
        </w:trPr>
        <w:tc>
          <w:tcPr>
            <w:tcW w:w="230" w:type="pct"/>
            <w:tcBorders>
              <w:top w:val="nil"/>
              <w:left w:val="nil"/>
              <w:bottom w:val="single" w:sz="4" w:space="0" w:color="auto"/>
              <w:right w:val="single" w:sz="4" w:space="0" w:color="auto"/>
            </w:tcBorders>
            <w:shd w:val="clear" w:color="auto" w:fill="auto"/>
            <w:noWrap/>
            <w:vAlign w:val="center"/>
            <w:hideMark/>
          </w:tcPr>
          <w:p w14:paraId="62AAF58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w:t>
            </w:r>
            <w:r>
              <w:rPr>
                <w:rFonts w:eastAsia="Times New Roman" w:cs="Times New Roman"/>
                <w:color w:val="auto"/>
                <w:sz w:val="16"/>
                <w:szCs w:val="16"/>
                <w:bdr w:val="none" w:sz="0" w:space="0" w:color="auto"/>
                <w:lang w:val="en-GB" w:eastAsia="en-GB"/>
              </w:rPr>
              <w:t>3</w:t>
            </w:r>
          </w:p>
        </w:tc>
        <w:tc>
          <w:tcPr>
            <w:tcW w:w="371" w:type="pct"/>
            <w:gridSpan w:val="2"/>
            <w:tcBorders>
              <w:top w:val="nil"/>
              <w:left w:val="nil"/>
              <w:bottom w:val="single" w:sz="4" w:space="0" w:color="auto"/>
              <w:right w:val="single" w:sz="4" w:space="0" w:color="auto"/>
            </w:tcBorders>
            <w:shd w:val="clear" w:color="auto" w:fill="auto"/>
            <w:vAlign w:val="center"/>
            <w:hideMark/>
          </w:tcPr>
          <w:p w14:paraId="539928F5"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2017-IT-TM-0106</w:t>
            </w:r>
          </w:p>
          <w:p w14:paraId="35C529B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67DDAB0A" w14:textId="77777777" w:rsidR="00B326C9" w:rsidRPr="00B70F83" w:rsidRDefault="00B326C9"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CRE8 Realizzazione di una rete di 32 stazioni </w:t>
            </w:r>
            <w:r>
              <w:rPr>
                <w:rFonts w:eastAsia="Times New Roman" w:cs="Times New Roman"/>
                <w:color w:val="auto"/>
                <w:sz w:val="16"/>
                <w:szCs w:val="16"/>
                <w:bdr w:val="none" w:sz="0" w:space="0" w:color="auto"/>
                <w:lang w:eastAsia="en-GB"/>
              </w:rPr>
              <w:t xml:space="preserve">di </w:t>
            </w:r>
            <w:proofErr w:type="spellStart"/>
            <w:r>
              <w:rPr>
                <w:rFonts w:eastAsia="Times New Roman" w:cs="Times New Roman"/>
                <w:color w:val="auto"/>
                <w:sz w:val="16"/>
                <w:szCs w:val="16"/>
                <w:bdr w:val="none" w:sz="0" w:space="0" w:color="auto"/>
                <w:lang w:eastAsia="en-GB"/>
              </w:rPr>
              <w:t>rica</w:t>
            </w:r>
            <w:r w:rsidR="00A37335">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rica</w:t>
            </w:r>
            <w:proofErr w:type="spellEnd"/>
            <w:r>
              <w:rPr>
                <w:rFonts w:eastAsia="Times New Roman" w:cs="Times New Roman"/>
                <w:color w:val="auto"/>
                <w:sz w:val="16"/>
                <w:szCs w:val="16"/>
                <w:bdr w:val="none" w:sz="0" w:space="0" w:color="auto"/>
                <w:lang w:eastAsia="en-GB"/>
              </w:rPr>
              <w:t xml:space="preserve"> </w:t>
            </w:r>
            <w:r w:rsidR="002D4FDD">
              <w:rPr>
                <w:rFonts w:eastAsia="Times New Roman" w:cs="Times New Roman"/>
                <w:color w:val="auto"/>
                <w:sz w:val="16"/>
                <w:szCs w:val="16"/>
                <w:bdr w:val="none" w:sz="0" w:space="0" w:color="auto"/>
                <w:lang w:eastAsia="en-GB"/>
              </w:rPr>
              <w:t>GNC</w:t>
            </w:r>
            <w:r>
              <w:rPr>
                <w:rFonts w:eastAsia="Times New Roman" w:cs="Times New Roman"/>
                <w:color w:val="auto"/>
                <w:sz w:val="16"/>
                <w:szCs w:val="16"/>
                <w:bdr w:val="none" w:sz="0" w:space="0" w:color="auto"/>
                <w:lang w:eastAsia="en-GB"/>
              </w:rPr>
              <w:t xml:space="preserve">, 5 </w:t>
            </w:r>
            <w:proofErr w:type="gramStart"/>
            <w:r w:rsidR="002D4FDD">
              <w:rPr>
                <w:rFonts w:eastAsia="Times New Roman" w:cs="Times New Roman"/>
                <w:color w:val="auto"/>
                <w:sz w:val="16"/>
                <w:szCs w:val="16"/>
                <w:bdr w:val="none" w:sz="0" w:space="0" w:color="auto"/>
                <w:lang w:eastAsia="en-GB"/>
              </w:rPr>
              <w:t>GNL</w:t>
            </w:r>
            <w:r>
              <w:rPr>
                <w:rFonts w:eastAsia="Times New Roman" w:cs="Times New Roman"/>
                <w:color w:val="auto"/>
                <w:sz w:val="16"/>
                <w:szCs w:val="16"/>
                <w:bdr w:val="none" w:sz="0" w:space="0" w:color="auto"/>
                <w:lang w:eastAsia="en-GB"/>
              </w:rPr>
              <w:t xml:space="preserve">  e</w:t>
            </w:r>
            <w:proofErr w:type="gramEnd"/>
            <w:r>
              <w:rPr>
                <w:rFonts w:eastAsia="Times New Roman" w:cs="Times New Roman"/>
                <w:color w:val="auto"/>
                <w:sz w:val="16"/>
                <w:szCs w:val="16"/>
                <w:bdr w:val="none" w:sz="0" w:space="0" w:color="auto"/>
                <w:lang w:eastAsia="en-GB"/>
              </w:rPr>
              <w:t xml:space="preserve"> 31 sta</w:t>
            </w:r>
            <w:r w:rsidR="00A37335">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 xml:space="preserve">zioni elettriche fast </w:t>
            </w:r>
            <w:proofErr w:type="spellStart"/>
            <w:r>
              <w:rPr>
                <w:rFonts w:eastAsia="Times New Roman" w:cs="Times New Roman"/>
                <w:color w:val="auto"/>
                <w:sz w:val="16"/>
                <w:szCs w:val="16"/>
                <w:bdr w:val="none" w:sz="0" w:space="0" w:color="auto"/>
                <w:lang w:eastAsia="en-GB"/>
              </w:rPr>
              <w:t>charging</w:t>
            </w:r>
            <w:proofErr w:type="spellEnd"/>
            <w:r>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 xml:space="preserve"> lungo la rete Italiana TEN-T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3DF797D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31/12/22</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5E89F57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15.272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6D99C91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3.054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3FC362E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15.272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45B6D82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3.054 </w:t>
            </w:r>
          </w:p>
        </w:tc>
        <w:tc>
          <w:tcPr>
            <w:tcW w:w="466" w:type="pct"/>
            <w:gridSpan w:val="4"/>
            <w:tcBorders>
              <w:top w:val="nil"/>
              <w:left w:val="nil"/>
              <w:bottom w:val="single" w:sz="4" w:space="0" w:color="auto"/>
              <w:right w:val="single" w:sz="4" w:space="0" w:color="auto"/>
            </w:tcBorders>
            <w:shd w:val="clear" w:color="auto" w:fill="auto"/>
            <w:noWrap/>
            <w:vAlign w:val="center"/>
          </w:tcPr>
          <w:p w14:paraId="128FBAB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283" w:type="pct"/>
            <w:gridSpan w:val="3"/>
            <w:tcBorders>
              <w:top w:val="nil"/>
              <w:left w:val="nil"/>
              <w:bottom w:val="single" w:sz="4" w:space="0" w:color="auto"/>
              <w:right w:val="single" w:sz="4" w:space="0" w:color="auto"/>
            </w:tcBorders>
            <w:shd w:val="clear" w:color="auto" w:fill="auto"/>
            <w:noWrap/>
            <w:vAlign w:val="center"/>
          </w:tcPr>
          <w:p w14:paraId="2EFA06AC" w14:textId="77777777" w:rsidR="00B326C9" w:rsidRPr="002612CD"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sz w:val="16"/>
                <w:szCs w:val="16"/>
              </w:rPr>
              <w:t>0,0</w:t>
            </w:r>
          </w:p>
        </w:tc>
        <w:tc>
          <w:tcPr>
            <w:tcW w:w="464" w:type="pct"/>
            <w:gridSpan w:val="6"/>
            <w:tcBorders>
              <w:top w:val="nil"/>
              <w:left w:val="nil"/>
              <w:bottom w:val="single" w:sz="4" w:space="0" w:color="auto"/>
              <w:right w:val="single" w:sz="4" w:space="0" w:color="auto"/>
            </w:tcBorders>
            <w:shd w:val="clear" w:color="auto" w:fill="auto"/>
            <w:vAlign w:val="center"/>
          </w:tcPr>
          <w:p w14:paraId="48DEBD51"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w:t>
            </w:r>
          </w:p>
        </w:tc>
        <w:tc>
          <w:tcPr>
            <w:tcW w:w="411" w:type="pct"/>
            <w:gridSpan w:val="3"/>
            <w:tcBorders>
              <w:top w:val="nil"/>
              <w:left w:val="nil"/>
              <w:bottom w:val="single" w:sz="4" w:space="0" w:color="auto"/>
              <w:right w:val="single" w:sz="4" w:space="0" w:color="auto"/>
            </w:tcBorders>
            <w:shd w:val="clear" w:color="auto" w:fill="auto"/>
            <w:vAlign w:val="center"/>
          </w:tcPr>
          <w:p w14:paraId="2411952F" w14:textId="77777777" w:rsidR="00B326C9" w:rsidRPr="002612CD"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2.247</w:t>
            </w:r>
            <w:r w:rsidRPr="002612CD">
              <w:rPr>
                <w:rFonts w:eastAsia="Times New Roman" w:cs="Times New Roman"/>
                <w:color w:val="auto"/>
                <w:sz w:val="16"/>
                <w:szCs w:val="16"/>
                <w:bdr w:val="none" w:sz="0" w:space="0" w:color="auto"/>
                <w:lang w:eastAsia="en-GB"/>
              </w:rPr>
              <w:t xml:space="preserve"> </w:t>
            </w:r>
          </w:p>
        </w:tc>
        <w:tc>
          <w:tcPr>
            <w:tcW w:w="195" w:type="pct"/>
            <w:tcBorders>
              <w:top w:val="nil"/>
              <w:left w:val="nil"/>
              <w:bottom w:val="single" w:sz="4" w:space="0" w:color="auto"/>
            </w:tcBorders>
            <w:shd w:val="clear" w:color="auto" w:fill="auto"/>
            <w:vAlign w:val="center"/>
          </w:tcPr>
          <w:p w14:paraId="5194EDDC" w14:textId="77777777" w:rsidR="00B326C9" w:rsidRPr="005D4641"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sz w:val="16"/>
                <w:szCs w:val="16"/>
                <w:bdr w:val="none" w:sz="0" w:space="0" w:color="auto"/>
                <w:lang w:val="en-GB" w:eastAsia="en-GB"/>
              </w:rPr>
            </w:pPr>
            <w:r w:rsidRPr="005D4641">
              <w:rPr>
                <w:sz w:val="16"/>
                <w:szCs w:val="16"/>
              </w:rPr>
              <w:t>1</w:t>
            </w:r>
            <w:r>
              <w:rPr>
                <w:sz w:val="16"/>
                <w:szCs w:val="16"/>
              </w:rPr>
              <w:t>5</w:t>
            </w:r>
          </w:p>
        </w:tc>
      </w:tr>
      <w:tr w:rsidR="00B326C9" w:rsidRPr="00922A9B" w14:paraId="772AEBEB"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hideMark/>
          </w:tcPr>
          <w:p w14:paraId="1E7F2CB3"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2</w:t>
            </w:r>
            <w:r>
              <w:rPr>
                <w:rFonts w:eastAsia="Times New Roman" w:cs="Times New Roman"/>
                <w:color w:val="auto"/>
                <w:sz w:val="16"/>
                <w:szCs w:val="16"/>
                <w:bdr w:val="none" w:sz="0" w:space="0" w:color="auto"/>
                <w:lang w:eastAsia="en-GB"/>
              </w:rPr>
              <w:t>4</w:t>
            </w:r>
          </w:p>
        </w:tc>
        <w:tc>
          <w:tcPr>
            <w:tcW w:w="371" w:type="pct"/>
            <w:gridSpan w:val="2"/>
            <w:tcBorders>
              <w:top w:val="nil"/>
              <w:left w:val="nil"/>
              <w:bottom w:val="single" w:sz="4" w:space="0" w:color="auto"/>
              <w:right w:val="single" w:sz="4" w:space="0" w:color="auto"/>
            </w:tcBorders>
            <w:shd w:val="clear" w:color="auto" w:fill="auto"/>
            <w:vAlign w:val="center"/>
            <w:hideMark/>
          </w:tcPr>
          <w:p w14:paraId="0FE29816"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2017-IT-TM-0110</w:t>
            </w:r>
          </w:p>
          <w:p w14:paraId="02F13B4B"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7B7C61AB"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AMBRA-</w:t>
            </w:r>
            <w:proofErr w:type="gramStart"/>
            <w:r w:rsidRPr="00922A9B">
              <w:rPr>
                <w:rFonts w:eastAsia="Times New Roman" w:cs="Times New Roman"/>
                <w:color w:val="auto"/>
                <w:sz w:val="16"/>
                <w:szCs w:val="16"/>
                <w:bdr w:val="none" w:sz="0" w:space="0" w:color="auto"/>
                <w:lang w:eastAsia="en-GB"/>
              </w:rPr>
              <w:t>E</w:t>
            </w:r>
            <w:proofErr w:type="gramEnd"/>
            <w:r w:rsidR="00A37335">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Elettrifica</w:t>
            </w:r>
            <w:r>
              <w:rPr>
                <w:rFonts w:eastAsia="Times New Roman" w:cs="Times New Roman"/>
                <w:color w:val="auto"/>
                <w:sz w:val="16"/>
                <w:szCs w:val="16"/>
                <w:bdr w:val="none" w:sz="0" w:space="0" w:color="auto"/>
                <w:lang w:eastAsia="en-GB"/>
              </w:rPr>
              <w:t xml:space="preserve">zione d'Europa - Rete di 3.169 </w:t>
            </w:r>
            <w:r w:rsidRPr="00922A9B">
              <w:rPr>
                <w:rFonts w:eastAsia="Times New Roman" w:cs="Times New Roman"/>
                <w:color w:val="auto"/>
                <w:sz w:val="16"/>
                <w:szCs w:val="16"/>
                <w:bdr w:val="none" w:sz="0" w:space="0" w:color="auto"/>
                <w:lang w:eastAsia="en-GB"/>
              </w:rPr>
              <w:t>sta</w:t>
            </w:r>
            <w:r w:rsidR="00A37335">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zioni di ricarica elettrica </w:t>
            </w:r>
            <w:proofErr w:type="spellStart"/>
            <w:r w:rsidRPr="00922A9B">
              <w:rPr>
                <w:rFonts w:eastAsia="Times New Roman" w:cs="Times New Roman"/>
                <w:color w:val="auto"/>
                <w:sz w:val="16"/>
                <w:szCs w:val="16"/>
                <w:bdr w:val="none" w:sz="0" w:space="0" w:color="auto"/>
                <w:lang w:eastAsia="en-GB"/>
              </w:rPr>
              <w:t>nor</w:t>
            </w:r>
            <w:proofErr w:type="spellEnd"/>
            <w:r w:rsidR="00A37335">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mali, veloci e ultraveloci in IT, RO e ES</w:t>
            </w:r>
            <w:r>
              <w:rPr>
                <w:rFonts w:eastAsia="Times New Roman" w:cs="Times New Roman"/>
                <w:color w:val="auto"/>
                <w:sz w:val="16"/>
                <w:szCs w:val="16"/>
                <w:bdr w:val="none" w:sz="0" w:space="0" w:color="auto"/>
                <w:lang w:eastAsia="en-GB"/>
              </w:rPr>
              <w:t xml:space="preserve"> (1.783 in Italia)</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6DBBCA8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31/12/22</w:t>
            </w:r>
          </w:p>
        </w:tc>
        <w:tc>
          <w:tcPr>
            <w:tcW w:w="445" w:type="pct"/>
            <w:gridSpan w:val="3"/>
            <w:tcBorders>
              <w:top w:val="nil"/>
              <w:left w:val="nil"/>
              <w:bottom w:val="single" w:sz="4" w:space="0" w:color="auto"/>
              <w:right w:val="single" w:sz="4" w:space="0" w:color="auto"/>
            </w:tcBorders>
            <w:shd w:val="clear" w:color="auto" w:fill="auto"/>
            <w:noWrap/>
            <w:vAlign w:val="center"/>
            <w:hideMark/>
          </w:tcPr>
          <w:p w14:paraId="5855225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70.755 </w:t>
            </w:r>
          </w:p>
        </w:tc>
        <w:tc>
          <w:tcPr>
            <w:tcW w:w="420" w:type="pct"/>
            <w:gridSpan w:val="2"/>
            <w:tcBorders>
              <w:top w:val="nil"/>
              <w:left w:val="nil"/>
              <w:bottom w:val="single" w:sz="4" w:space="0" w:color="auto"/>
              <w:right w:val="single" w:sz="4" w:space="0" w:color="auto"/>
            </w:tcBorders>
            <w:shd w:val="clear" w:color="auto" w:fill="auto"/>
            <w:noWrap/>
            <w:vAlign w:val="center"/>
            <w:hideMark/>
          </w:tcPr>
          <w:p w14:paraId="55141FB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14.151 </w:t>
            </w:r>
          </w:p>
        </w:tc>
        <w:tc>
          <w:tcPr>
            <w:tcW w:w="452" w:type="pct"/>
            <w:gridSpan w:val="3"/>
            <w:tcBorders>
              <w:top w:val="nil"/>
              <w:left w:val="nil"/>
              <w:bottom w:val="single" w:sz="4" w:space="0" w:color="auto"/>
              <w:right w:val="single" w:sz="4" w:space="0" w:color="auto"/>
            </w:tcBorders>
            <w:shd w:val="clear" w:color="auto" w:fill="auto"/>
            <w:noWrap/>
            <w:vAlign w:val="center"/>
            <w:hideMark/>
          </w:tcPr>
          <w:p w14:paraId="0012098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70.755 </w:t>
            </w:r>
          </w:p>
        </w:tc>
        <w:tc>
          <w:tcPr>
            <w:tcW w:w="456" w:type="pct"/>
            <w:gridSpan w:val="5"/>
            <w:tcBorders>
              <w:top w:val="nil"/>
              <w:left w:val="nil"/>
              <w:bottom w:val="single" w:sz="4" w:space="0" w:color="auto"/>
              <w:right w:val="single" w:sz="4" w:space="0" w:color="auto"/>
            </w:tcBorders>
            <w:shd w:val="clear" w:color="auto" w:fill="auto"/>
            <w:noWrap/>
            <w:vAlign w:val="center"/>
            <w:hideMark/>
          </w:tcPr>
          <w:p w14:paraId="4F04232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14.151 </w:t>
            </w:r>
          </w:p>
        </w:tc>
        <w:tc>
          <w:tcPr>
            <w:tcW w:w="466" w:type="pct"/>
            <w:gridSpan w:val="4"/>
            <w:tcBorders>
              <w:top w:val="nil"/>
              <w:left w:val="nil"/>
              <w:bottom w:val="single" w:sz="4" w:space="0" w:color="auto"/>
              <w:right w:val="single" w:sz="4" w:space="0" w:color="auto"/>
            </w:tcBorders>
            <w:shd w:val="clear" w:color="auto" w:fill="auto"/>
            <w:noWrap/>
            <w:vAlign w:val="center"/>
          </w:tcPr>
          <w:p w14:paraId="6CC6A32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283" w:type="pct"/>
            <w:gridSpan w:val="3"/>
            <w:tcBorders>
              <w:top w:val="nil"/>
              <w:left w:val="nil"/>
              <w:bottom w:val="single" w:sz="4" w:space="0" w:color="auto"/>
              <w:right w:val="single" w:sz="4" w:space="0" w:color="auto"/>
            </w:tcBorders>
            <w:shd w:val="clear" w:color="auto" w:fill="auto"/>
            <w:noWrap/>
            <w:vAlign w:val="center"/>
          </w:tcPr>
          <w:p w14:paraId="1B6F12C6"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0,0</w:t>
            </w:r>
          </w:p>
        </w:tc>
        <w:tc>
          <w:tcPr>
            <w:tcW w:w="464" w:type="pct"/>
            <w:gridSpan w:val="6"/>
            <w:tcBorders>
              <w:top w:val="nil"/>
              <w:left w:val="nil"/>
              <w:bottom w:val="single" w:sz="4" w:space="0" w:color="auto"/>
              <w:right w:val="single" w:sz="4" w:space="0" w:color="auto"/>
            </w:tcBorders>
            <w:shd w:val="clear" w:color="auto" w:fill="auto"/>
            <w:vAlign w:val="center"/>
          </w:tcPr>
          <w:p w14:paraId="0F30018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w:t>
            </w:r>
          </w:p>
        </w:tc>
        <w:tc>
          <w:tcPr>
            <w:tcW w:w="407" w:type="pct"/>
            <w:gridSpan w:val="2"/>
            <w:tcBorders>
              <w:top w:val="nil"/>
              <w:left w:val="nil"/>
              <w:bottom w:val="single" w:sz="4" w:space="0" w:color="auto"/>
              <w:right w:val="single" w:sz="4" w:space="0" w:color="auto"/>
            </w:tcBorders>
            <w:shd w:val="clear" w:color="auto" w:fill="auto"/>
            <w:vAlign w:val="center"/>
          </w:tcPr>
          <w:p w14:paraId="3FB7A2CF"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5.682</w:t>
            </w:r>
          </w:p>
        </w:tc>
        <w:tc>
          <w:tcPr>
            <w:tcW w:w="199" w:type="pct"/>
            <w:gridSpan w:val="2"/>
            <w:tcBorders>
              <w:top w:val="nil"/>
              <w:left w:val="nil"/>
              <w:bottom w:val="single" w:sz="4" w:space="0" w:color="auto"/>
            </w:tcBorders>
            <w:shd w:val="clear" w:color="auto" w:fill="auto"/>
            <w:vAlign w:val="center"/>
          </w:tcPr>
          <w:p w14:paraId="02EDC854" w14:textId="77777777" w:rsidR="00B326C9" w:rsidRPr="005D4641"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1" w:right="-109"/>
              <w:jc w:val="center"/>
              <w:rPr>
                <w:rFonts w:eastAsia="Times New Roman"/>
                <w:sz w:val="16"/>
                <w:szCs w:val="16"/>
                <w:bdr w:val="none" w:sz="0" w:space="0" w:color="auto"/>
                <w:lang w:val="en-GB" w:eastAsia="en-GB"/>
              </w:rPr>
            </w:pPr>
            <w:r>
              <w:rPr>
                <w:sz w:val="16"/>
                <w:szCs w:val="16"/>
              </w:rPr>
              <w:t>18</w:t>
            </w:r>
          </w:p>
        </w:tc>
      </w:tr>
      <w:tr w:rsidR="00B326C9" w:rsidRPr="00922A9B" w14:paraId="0E5375A0" w14:textId="77777777" w:rsidTr="00C56F61">
        <w:trPr>
          <w:trHeight w:val="839"/>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44A9996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w:t>
            </w:r>
            <w:r>
              <w:rPr>
                <w:rFonts w:eastAsia="Times New Roman" w:cs="Times New Roman"/>
                <w:color w:val="auto"/>
                <w:sz w:val="16"/>
                <w:szCs w:val="16"/>
                <w:bdr w:val="none" w:sz="0" w:space="0" w:color="auto"/>
                <w:lang w:val="en-GB" w:eastAsia="en-GB"/>
              </w:rPr>
              <w:t>5</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396FA92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2017-IT-TM-0113</w:t>
            </w:r>
            <w:r w:rsidR="0044209F">
              <w:rPr>
                <w:rFonts w:eastAsia="Times New Roman" w:cs="Times New Roman"/>
                <w:color w:val="auto"/>
                <w:sz w:val="16"/>
                <w:szCs w:val="16"/>
                <w:bdr w:val="none" w:sz="0" w:space="0" w:color="auto"/>
                <w:lang w:val="en-GB" w:eastAsia="en-GB"/>
              </w:rPr>
              <w:t xml:space="preserve">   </w:t>
            </w:r>
            <w:r w:rsidRPr="00922A9B">
              <w:rPr>
                <w:rFonts w:eastAsia="Times New Roman" w:cs="Times New Roman"/>
                <w:color w:val="auto"/>
                <w:sz w:val="16"/>
                <w:szCs w:val="16"/>
                <w:bdr w:val="none" w:sz="0" w:space="0" w:color="auto"/>
                <w:lang w:val="en-GB" w:eastAsia="en-GB"/>
              </w:rPr>
              <w:t>-W</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0BB97D70" w14:textId="77777777" w:rsidR="00B326C9" w:rsidRPr="00B70F83" w:rsidRDefault="00A37335" w:rsidP="002D4FDD">
            <w:pPr>
              <w:pBdr>
                <w:top w:val="none" w:sz="0" w:space="0" w:color="auto"/>
                <w:left w:val="none" w:sz="0" w:space="0" w:color="auto"/>
                <w:bottom w:val="none" w:sz="0" w:space="0" w:color="auto"/>
                <w:right w:val="none" w:sz="0" w:space="0" w:color="auto"/>
                <w:between w:val="none" w:sz="0" w:space="0" w:color="auto"/>
                <w:bar w:val="none" w:sz="0" w:color="auto"/>
              </w:pBdr>
              <w:ind w:left="-59" w:right="-95"/>
              <w:rPr>
                <w:rFonts w:eastAsia="Times New Roman" w:cs="Times New Roman"/>
                <w:color w:val="auto"/>
                <w:sz w:val="16"/>
                <w:szCs w:val="16"/>
                <w:bdr w:val="none" w:sz="0" w:space="0" w:color="auto"/>
                <w:lang w:eastAsia="en-GB"/>
              </w:rPr>
            </w:pPr>
            <w:r w:rsidRPr="00A37335">
              <w:rPr>
                <w:rFonts w:eastAsia="Times New Roman" w:cs="Times New Roman"/>
                <w:color w:val="auto"/>
                <w:sz w:val="16"/>
                <w:szCs w:val="16"/>
                <w:bdr w:val="none" w:sz="0" w:space="0" w:color="auto"/>
                <w:lang w:eastAsia="en-GB"/>
              </w:rPr>
              <w:t>SN</w:t>
            </w:r>
            <w:r>
              <w:rPr>
                <w:rFonts w:eastAsia="Times New Roman" w:cs="Times New Roman"/>
                <w:color w:val="auto"/>
                <w:sz w:val="16"/>
                <w:szCs w:val="16"/>
                <w:bdr w:val="none" w:sz="0" w:space="0" w:color="auto"/>
                <w:lang w:eastAsia="en-GB"/>
              </w:rPr>
              <w:t>AM</w:t>
            </w:r>
            <w:r w:rsidRPr="00922A9B">
              <w:rPr>
                <w:rFonts w:eastAsia="Times New Roman" w:cs="Times New Roman"/>
                <w:color w:val="auto"/>
                <w:sz w:val="16"/>
                <w:szCs w:val="16"/>
                <w:bdr w:val="none" w:sz="0" w:space="0" w:color="auto"/>
                <w:lang w:eastAsia="en-GB"/>
              </w:rPr>
              <w:t>4</w:t>
            </w:r>
            <w:r>
              <w:rPr>
                <w:rFonts w:eastAsia="Times New Roman" w:cs="Times New Roman"/>
                <w:color w:val="auto"/>
                <w:sz w:val="16"/>
                <w:szCs w:val="16"/>
                <w:bdr w:val="none" w:sz="0" w:space="0" w:color="auto"/>
                <w:lang w:eastAsia="en-GB"/>
              </w:rPr>
              <w:t>M</w:t>
            </w:r>
            <w:r w:rsidRPr="00922A9B">
              <w:rPr>
                <w:rFonts w:eastAsia="Times New Roman" w:cs="Times New Roman"/>
                <w:color w:val="auto"/>
                <w:sz w:val="16"/>
                <w:szCs w:val="16"/>
                <w:bdr w:val="none" w:sz="0" w:space="0" w:color="auto"/>
                <w:lang w:eastAsia="en-GB"/>
              </w:rPr>
              <w:t>obility</w:t>
            </w:r>
            <w:r w:rsidR="00B326C9" w:rsidRPr="00922A9B">
              <w:rPr>
                <w:rFonts w:eastAsia="Times New Roman" w:cs="Times New Roman"/>
                <w:color w:val="auto"/>
                <w:sz w:val="16"/>
                <w:szCs w:val="16"/>
                <w:bdr w:val="none" w:sz="0" w:space="0" w:color="auto"/>
                <w:lang w:eastAsia="en-GB"/>
              </w:rPr>
              <w:t xml:space="preserve"> Rete di 9 stazioni di ricarica </w:t>
            </w:r>
            <w:r w:rsidR="002D4FDD">
              <w:rPr>
                <w:rFonts w:eastAsia="Times New Roman" w:cs="Times New Roman"/>
                <w:color w:val="auto"/>
                <w:sz w:val="16"/>
                <w:szCs w:val="16"/>
                <w:bdr w:val="none" w:sz="0" w:space="0" w:color="auto"/>
                <w:lang w:eastAsia="en-GB"/>
              </w:rPr>
              <w:t>GNL</w:t>
            </w:r>
            <w:r w:rsidR="00B326C9" w:rsidRPr="00922A9B">
              <w:rPr>
                <w:rFonts w:eastAsia="Times New Roman" w:cs="Times New Roman"/>
                <w:color w:val="auto"/>
                <w:sz w:val="16"/>
                <w:szCs w:val="16"/>
                <w:bdr w:val="none" w:sz="0" w:space="0" w:color="auto"/>
                <w:lang w:eastAsia="en-GB"/>
              </w:rPr>
              <w:t>/</w:t>
            </w:r>
            <w:r w:rsidR="002D4FDD">
              <w:rPr>
                <w:rFonts w:eastAsia="Times New Roman" w:cs="Times New Roman"/>
                <w:color w:val="auto"/>
                <w:sz w:val="16"/>
                <w:szCs w:val="16"/>
                <w:bdr w:val="none" w:sz="0" w:space="0" w:color="auto"/>
                <w:lang w:eastAsia="en-GB"/>
              </w:rPr>
              <w:t>GNC</w:t>
            </w:r>
            <w:r w:rsidR="00B326C9" w:rsidRPr="00922A9B">
              <w:rPr>
                <w:rFonts w:eastAsia="Times New Roman" w:cs="Times New Roman"/>
                <w:color w:val="auto"/>
                <w:sz w:val="16"/>
                <w:szCs w:val="16"/>
                <w:bdr w:val="none" w:sz="0" w:space="0" w:color="auto"/>
                <w:lang w:eastAsia="en-GB"/>
              </w:rPr>
              <w:t xml:space="preserve"> nell’arco di 5 anni</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660DE89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31/12/23</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3EA187F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6.922 </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55EA83D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1.372 </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20CFEEC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6.922 </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6406FEF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1.372 </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hideMark/>
          </w:tcPr>
          <w:p w14:paraId="7B6FFA95"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76</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11ED1075" w14:textId="77777777" w:rsidR="00B326C9" w:rsidRPr="002612CD"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rFonts w:eastAsia="Times New Roman" w:cs="Times New Roman"/>
                <w:color w:val="auto"/>
                <w:sz w:val="16"/>
                <w:szCs w:val="16"/>
                <w:bdr w:val="none" w:sz="0" w:space="0" w:color="auto"/>
                <w:lang w:val="en-GB" w:eastAsia="en-GB"/>
              </w:rPr>
            </w:pPr>
            <w:r>
              <w:rPr>
                <w:sz w:val="16"/>
                <w:szCs w:val="16"/>
              </w:rPr>
              <w:t>5,5</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4E9D0263"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2612CD">
              <w:rPr>
                <w:rFonts w:eastAsia="Times New Roman" w:cs="Times New Roman"/>
                <w:color w:val="auto"/>
                <w:sz w:val="16"/>
                <w:szCs w:val="16"/>
                <w:bdr w:val="none" w:sz="0" w:space="0" w:color="auto"/>
                <w:lang w:eastAsia="en-GB"/>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78717E68" w14:textId="77777777" w:rsidR="00B326C9" w:rsidRPr="002612CD"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1.637</w:t>
            </w:r>
          </w:p>
        </w:tc>
        <w:tc>
          <w:tcPr>
            <w:tcW w:w="199" w:type="pct"/>
            <w:gridSpan w:val="2"/>
            <w:tcBorders>
              <w:top w:val="single" w:sz="4" w:space="0" w:color="auto"/>
              <w:left w:val="nil"/>
              <w:bottom w:val="single" w:sz="4" w:space="0" w:color="auto"/>
            </w:tcBorders>
            <w:shd w:val="clear" w:color="auto" w:fill="auto"/>
            <w:vAlign w:val="center"/>
          </w:tcPr>
          <w:p w14:paraId="350B51F2" w14:textId="77777777" w:rsidR="00B326C9" w:rsidRPr="005D4641"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11" w:right="-109"/>
              <w:jc w:val="center"/>
              <w:rPr>
                <w:rFonts w:eastAsia="Times New Roman"/>
                <w:sz w:val="16"/>
                <w:szCs w:val="16"/>
                <w:bdr w:val="none" w:sz="0" w:space="0" w:color="auto"/>
                <w:lang w:val="en-GB" w:eastAsia="en-GB"/>
              </w:rPr>
            </w:pPr>
            <w:r>
              <w:rPr>
                <w:sz w:val="16"/>
                <w:szCs w:val="16"/>
              </w:rPr>
              <w:t>24</w:t>
            </w:r>
          </w:p>
        </w:tc>
      </w:tr>
      <w:tr w:rsidR="00B326C9" w:rsidRPr="00922A9B" w14:paraId="63BBA801" w14:textId="77777777" w:rsidTr="00C56F61">
        <w:trPr>
          <w:trHeight w:val="839"/>
        </w:trPr>
        <w:tc>
          <w:tcPr>
            <w:tcW w:w="230" w:type="pct"/>
            <w:tcBorders>
              <w:top w:val="single" w:sz="4" w:space="0" w:color="auto"/>
              <w:left w:val="nil"/>
              <w:bottom w:val="single" w:sz="4" w:space="0" w:color="auto"/>
              <w:right w:val="single" w:sz="4" w:space="0" w:color="auto"/>
            </w:tcBorders>
            <w:shd w:val="clear" w:color="auto" w:fill="auto"/>
            <w:noWrap/>
            <w:vAlign w:val="center"/>
          </w:tcPr>
          <w:p w14:paraId="32D4444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26</w:t>
            </w:r>
          </w:p>
        </w:tc>
        <w:tc>
          <w:tcPr>
            <w:tcW w:w="371" w:type="pct"/>
            <w:gridSpan w:val="2"/>
            <w:tcBorders>
              <w:top w:val="single" w:sz="4" w:space="0" w:color="auto"/>
              <w:left w:val="nil"/>
              <w:bottom w:val="single" w:sz="4" w:space="0" w:color="auto"/>
              <w:right w:val="single" w:sz="4" w:space="0" w:color="auto"/>
            </w:tcBorders>
            <w:shd w:val="clear" w:color="auto" w:fill="auto"/>
            <w:vAlign w:val="center"/>
          </w:tcPr>
          <w:p w14:paraId="144B563F"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2018-EU-TM-0019</w:t>
            </w:r>
          </w:p>
          <w:p w14:paraId="2938603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72CEFF34" w14:textId="77777777" w:rsidR="00B326C9" w:rsidRPr="00922A9B"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59" w:right="-95"/>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SLAIN</w:t>
            </w:r>
            <w:r w:rsidR="00A37335">
              <w:rPr>
                <w:rFonts w:eastAsia="Times New Roman" w:cs="Times New Roman"/>
                <w:color w:val="auto"/>
                <w:sz w:val="16"/>
                <w:szCs w:val="16"/>
                <w:bdr w:val="none" w:sz="0" w:space="0" w:color="auto"/>
                <w:lang w:eastAsia="en-GB"/>
              </w:rPr>
              <w:t xml:space="preserve"> – S</w:t>
            </w:r>
            <w:r>
              <w:rPr>
                <w:rFonts w:eastAsia="Times New Roman" w:cs="Times New Roman"/>
                <w:color w:val="auto"/>
                <w:sz w:val="16"/>
                <w:szCs w:val="16"/>
                <w:bdr w:val="none" w:sz="0" w:space="0" w:color="auto"/>
                <w:lang w:eastAsia="en-GB"/>
              </w:rPr>
              <w:t xml:space="preserve">alvare vite migliorando la sicurezza della rete </w:t>
            </w:r>
            <w:r w:rsidR="00A37335">
              <w:rPr>
                <w:rFonts w:eastAsia="Times New Roman" w:cs="Times New Roman"/>
                <w:color w:val="auto"/>
                <w:sz w:val="16"/>
                <w:szCs w:val="16"/>
                <w:bdr w:val="none" w:sz="0" w:space="0" w:color="auto"/>
                <w:lang w:eastAsia="en-GB"/>
              </w:rPr>
              <w:t>t</w:t>
            </w:r>
            <w:r>
              <w:rPr>
                <w:rFonts w:eastAsia="Times New Roman" w:cs="Times New Roman"/>
                <w:color w:val="auto"/>
                <w:sz w:val="16"/>
                <w:szCs w:val="16"/>
                <w:bdr w:val="none" w:sz="0" w:space="0" w:color="auto"/>
                <w:lang w:eastAsia="en-GB"/>
              </w:rPr>
              <w:t>ran</w:t>
            </w:r>
            <w:r w:rsidR="00A37335">
              <w:rPr>
                <w:rFonts w:eastAsia="Times New Roman" w:cs="Times New Roman"/>
                <w:color w:val="auto"/>
                <w:sz w:val="16"/>
                <w:szCs w:val="16"/>
                <w:bdr w:val="none" w:sz="0" w:space="0" w:color="auto"/>
                <w:lang w:eastAsia="en-GB"/>
              </w:rPr>
              <w:t>s</w:t>
            </w:r>
            <w:r>
              <w:rPr>
                <w:rFonts w:eastAsia="Times New Roman" w:cs="Times New Roman"/>
                <w:color w:val="auto"/>
                <w:sz w:val="16"/>
                <w:szCs w:val="16"/>
                <w:bdr w:val="none" w:sz="0" w:space="0" w:color="auto"/>
                <w:lang w:eastAsia="en-GB"/>
              </w:rPr>
              <w:t>europea del trasporto stradale</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tcPr>
          <w:p w14:paraId="0A21721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31/03/21</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tcPr>
          <w:p w14:paraId="4021B98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390</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tcPr>
          <w:p w14:paraId="68D7A1E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195</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tcPr>
          <w:p w14:paraId="336BBCD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1.871</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tcPr>
          <w:p w14:paraId="47376ED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935</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34A45B4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78</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204E10C7"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sz w:val="16"/>
                <w:szCs w:val="16"/>
              </w:rPr>
            </w:pPr>
            <w:r>
              <w:rPr>
                <w:sz w:val="16"/>
                <w:szCs w:val="16"/>
              </w:rPr>
              <w:t>40,0</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6DE66A4C"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3B88D4CE"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78</w:t>
            </w:r>
          </w:p>
        </w:tc>
        <w:tc>
          <w:tcPr>
            <w:tcW w:w="199" w:type="pct"/>
            <w:gridSpan w:val="2"/>
            <w:tcBorders>
              <w:top w:val="single" w:sz="4" w:space="0" w:color="auto"/>
              <w:left w:val="nil"/>
              <w:bottom w:val="single" w:sz="4" w:space="0" w:color="auto"/>
            </w:tcBorders>
            <w:shd w:val="clear" w:color="auto" w:fill="auto"/>
            <w:vAlign w:val="center"/>
          </w:tcPr>
          <w:p w14:paraId="0B58AB98" w14:textId="77777777" w:rsidR="00B326C9" w:rsidRPr="005D4641"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1" w:right="-109"/>
              <w:jc w:val="center"/>
              <w:rPr>
                <w:sz w:val="16"/>
                <w:szCs w:val="16"/>
              </w:rPr>
            </w:pPr>
            <w:r>
              <w:rPr>
                <w:rFonts w:eastAsia="Times New Roman" w:cs="Times New Roman"/>
                <w:color w:val="auto"/>
                <w:sz w:val="16"/>
                <w:szCs w:val="16"/>
                <w:bdr w:val="none" w:sz="0" w:space="0" w:color="auto"/>
                <w:lang w:eastAsia="en-GB"/>
              </w:rPr>
              <w:t>32</w:t>
            </w:r>
          </w:p>
        </w:tc>
      </w:tr>
      <w:tr w:rsidR="00B326C9" w:rsidRPr="00922A9B" w14:paraId="53878089" w14:textId="77777777" w:rsidTr="00C56F61">
        <w:trPr>
          <w:trHeight w:val="839"/>
        </w:trPr>
        <w:tc>
          <w:tcPr>
            <w:tcW w:w="230" w:type="pct"/>
            <w:tcBorders>
              <w:top w:val="single" w:sz="4" w:space="0" w:color="auto"/>
              <w:left w:val="nil"/>
              <w:bottom w:val="single" w:sz="4" w:space="0" w:color="auto"/>
              <w:right w:val="single" w:sz="4" w:space="0" w:color="auto"/>
            </w:tcBorders>
            <w:shd w:val="clear" w:color="auto" w:fill="auto"/>
            <w:noWrap/>
            <w:vAlign w:val="center"/>
          </w:tcPr>
          <w:p w14:paraId="31291AA3"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27</w:t>
            </w:r>
          </w:p>
        </w:tc>
        <w:tc>
          <w:tcPr>
            <w:tcW w:w="371" w:type="pct"/>
            <w:gridSpan w:val="2"/>
            <w:tcBorders>
              <w:top w:val="single" w:sz="4" w:space="0" w:color="auto"/>
              <w:left w:val="nil"/>
              <w:bottom w:val="single" w:sz="4" w:space="0" w:color="auto"/>
              <w:right w:val="single" w:sz="4" w:space="0" w:color="auto"/>
            </w:tcBorders>
            <w:shd w:val="clear" w:color="auto" w:fill="auto"/>
            <w:vAlign w:val="center"/>
          </w:tcPr>
          <w:p w14:paraId="10EFA4C0"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2018-EU-TM-0079</w:t>
            </w:r>
          </w:p>
          <w:p w14:paraId="549022C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-S</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3894167F" w14:textId="77777777" w:rsidR="00B326C9" w:rsidRPr="00922A9B"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59" w:right="-95"/>
              <w:rPr>
                <w:rFonts w:eastAsia="Times New Roman" w:cs="Times New Roman"/>
                <w:color w:val="auto"/>
                <w:sz w:val="16"/>
                <w:szCs w:val="16"/>
                <w:bdr w:val="none" w:sz="0" w:space="0" w:color="auto"/>
                <w:lang w:eastAsia="en-GB"/>
              </w:rPr>
            </w:pPr>
            <w:proofErr w:type="spellStart"/>
            <w:r>
              <w:rPr>
                <w:rFonts w:eastAsia="Times New Roman" w:cs="Times New Roman"/>
                <w:color w:val="auto"/>
                <w:sz w:val="16"/>
                <w:szCs w:val="16"/>
                <w:bdr w:val="none" w:sz="0" w:space="0" w:color="auto"/>
                <w:lang w:eastAsia="en-GB"/>
              </w:rPr>
              <w:t>SAFe</w:t>
            </w:r>
            <w:proofErr w:type="spellEnd"/>
            <w:r>
              <w:rPr>
                <w:rFonts w:eastAsia="Times New Roman" w:cs="Times New Roman"/>
                <w:color w:val="auto"/>
                <w:sz w:val="16"/>
                <w:szCs w:val="16"/>
                <w:bdr w:val="none" w:sz="0" w:space="0" w:color="auto"/>
                <w:lang w:eastAsia="en-GB"/>
              </w:rPr>
              <w:t xml:space="preserve"> – </w:t>
            </w:r>
            <w:proofErr w:type="spellStart"/>
            <w:r>
              <w:rPr>
                <w:rFonts w:eastAsia="Times New Roman" w:cs="Times New Roman"/>
                <w:color w:val="auto"/>
                <w:sz w:val="16"/>
                <w:szCs w:val="16"/>
                <w:bdr w:val="none" w:sz="0" w:space="0" w:color="auto"/>
                <w:lang w:eastAsia="en-GB"/>
              </w:rPr>
              <w:t>Defi</w:t>
            </w:r>
            <w:r w:rsidR="0000635D">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nizione</w:t>
            </w:r>
            <w:proofErr w:type="spellEnd"/>
            <w:r>
              <w:rPr>
                <w:rFonts w:eastAsia="Times New Roman" w:cs="Times New Roman"/>
                <w:color w:val="auto"/>
                <w:sz w:val="16"/>
                <w:szCs w:val="16"/>
                <w:bdr w:val="none" w:sz="0" w:space="0" w:color="auto"/>
                <w:lang w:eastAsia="en-GB"/>
              </w:rPr>
              <w:t xml:space="preserve"> degli standard e le specifiche per consentire lo sviluppo di </w:t>
            </w:r>
            <w:proofErr w:type="spellStart"/>
            <w:r>
              <w:rPr>
                <w:rFonts w:eastAsia="Times New Roman" w:cs="Times New Roman"/>
                <w:color w:val="auto"/>
                <w:sz w:val="16"/>
                <w:szCs w:val="16"/>
                <w:bdr w:val="none" w:sz="0" w:space="0" w:color="auto"/>
                <w:lang w:eastAsia="en-GB"/>
              </w:rPr>
              <w:t>siste</w:t>
            </w:r>
            <w:proofErr w:type="spellEnd"/>
            <w:r w:rsidR="0000635D">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mi after market per l’</w:t>
            </w:r>
            <w:proofErr w:type="spellStart"/>
            <w:r w:rsidR="0000635D">
              <w:rPr>
                <w:rFonts w:eastAsia="Times New Roman" w:cs="Times New Roman"/>
                <w:color w:val="auto"/>
                <w:sz w:val="16"/>
                <w:szCs w:val="16"/>
                <w:bdr w:val="none" w:sz="0" w:space="0" w:color="auto"/>
                <w:lang w:eastAsia="en-GB"/>
              </w:rPr>
              <w:t>e</w:t>
            </w:r>
            <w:r>
              <w:rPr>
                <w:rFonts w:eastAsia="Times New Roman" w:cs="Times New Roman"/>
                <w:color w:val="auto"/>
                <w:sz w:val="16"/>
                <w:szCs w:val="16"/>
                <w:bdr w:val="none" w:sz="0" w:space="0" w:color="auto"/>
                <w:lang w:eastAsia="en-GB"/>
              </w:rPr>
              <w:t>Call</w:t>
            </w:r>
            <w:proofErr w:type="spellEnd"/>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tcPr>
          <w:p w14:paraId="242FE1E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31/12/20</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tcPr>
          <w:p w14:paraId="5BFB082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548</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tcPr>
          <w:p w14:paraId="4873BB52"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274</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tcPr>
          <w:p w14:paraId="1AE610C2"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5.387</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tcPr>
          <w:p w14:paraId="071D9F66"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2.694</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1678B305"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47</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2F788BA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sz w:val="16"/>
                <w:szCs w:val="16"/>
              </w:rPr>
            </w:pPr>
            <w:r>
              <w:rPr>
                <w:sz w:val="16"/>
                <w:szCs w:val="16"/>
              </w:rPr>
              <w:t>17,1</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3E9342EA"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327AE765"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214</w:t>
            </w:r>
          </w:p>
        </w:tc>
        <w:tc>
          <w:tcPr>
            <w:tcW w:w="199" w:type="pct"/>
            <w:gridSpan w:val="2"/>
            <w:tcBorders>
              <w:top w:val="single" w:sz="4" w:space="0" w:color="auto"/>
              <w:left w:val="nil"/>
              <w:bottom w:val="single" w:sz="4" w:space="0" w:color="auto"/>
            </w:tcBorders>
            <w:shd w:val="clear" w:color="auto" w:fill="auto"/>
            <w:vAlign w:val="center"/>
          </w:tcPr>
          <w:p w14:paraId="300BE61C" w14:textId="77777777" w:rsidR="00B326C9" w:rsidRPr="005D4641"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1" w:right="-109"/>
              <w:jc w:val="center"/>
              <w:rPr>
                <w:sz w:val="16"/>
                <w:szCs w:val="16"/>
              </w:rPr>
            </w:pPr>
            <w:r>
              <w:rPr>
                <w:sz w:val="16"/>
                <w:szCs w:val="16"/>
              </w:rPr>
              <w:t>37</w:t>
            </w:r>
          </w:p>
        </w:tc>
      </w:tr>
      <w:tr w:rsidR="00B326C9" w:rsidRPr="00922A9B" w14:paraId="502234FC" w14:textId="77777777" w:rsidTr="00C56F61">
        <w:trPr>
          <w:trHeight w:val="839"/>
        </w:trPr>
        <w:tc>
          <w:tcPr>
            <w:tcW w:w="230" w:type="pct"/>
            <w:tcBorders>
              <w:top w:val="single" w:sz="4" w:space="0" w:color="auto"/>
              <w:left w:val="nil"/>
              <w:bottom w:val="single" w:sz="4" w:space="0" w:color="auto"/>
              <w:right w:val="single" w:sz="4" w:space="0" w:color="auto"/>
            </w:tcBorders>
            <w:shd w:val="clear" w:color="auto" w:fill="auto"/>
            <w:noWrap/>
            <w:vAlign w:val="center"/>
          </w:tcPr>
          <w:p w14:paraId="105AE2B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28</w:t>
            </w:r>
          </w:p>
        </w:tc>
        <w:tc>
          <w:tcPr>
            <w:tcW w:w="371" w:type="pct"/>
            <w:gridSpan w:val="2"/>
            <w:tcBorders>
              <w:top w:val="single" w:sz="4" w:space="0" w:color="auto"/>
              <w:left w:val="nil"/>
              <w:bottom w:val="single" w:sz="4" w:space="0" w:color="auto"/>
              <w:right w:val="single" w:sz="4" w:space="0" w:color="auto"/>
            </w:tcBorders>
            <w:shd w:val="clear" w:color="auto" w:fill="auto"/>
            <w:vAlign w:val="center"/>
          </w:tcPr>
          <w:p w14:paraId="09B90D68"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2018-IT-TM-0013</w:t>
            </w:r>
          </w:p>
          <w:p w14:paraId="1B4410B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1" w:right="-105"/>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-S</w:t>
            </w:r>
          </w:p>
        </w:tc>
        <w:tc>
          <w:tcPr>
            <w:tcW w:w="587" w:type="pct"/>
            <w:gridSpan w:val="2"/>
            <w:tcBorders>
              <w:top w:val="single" w:sz="4" w:space="0" w:color="auto"/>
              <w:left w:val="nil"/>
              <w:bottom w:val="single" w:sz="4" w:space="0" w:color="auto"/>
              <w:right w:val="single" w:sz="4" w:space="0" w:color="auto"/>
            </w:tcBorders>
            <w:shd w:val="clear" w:color="auto" w:fill="auto"/>
            <w:vAlign w:val="center"/>
          </w:tcPr>
          <w:p w14:paraId="1D4236B1" w14:textId="77777777" w:rsidR="0000635D"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59" w:right="-95"/>
              <w:rPr>
                <w:rFonts w:eastAsia="Times New Roman" w:cs="Times New Roman"/>
                <w:color w:val="auto"/>
                <w:sz w:val="16"/>
                <w:szCs w:val="16"/>
                <w:bdr w:val="none" w:sz="0" w:space="0" w:color="auto"/>
                <w:lang w:eastAsia="en-GB"/>
              </w:rPr>
            </w:pPr>
            <w:r w:rsidRPr="000B0912">
              <w:rPr>
                <w:rFonts w:eastAsia="Times New Roman" w:cs="Times New Roman"/>
                <w:color w:val="auto"/>
                <w:sz w:val="16"/>
                <w:szCs w:val="16"/>
                <w:bdr w:val="none" w:sz="0" w:space="0" w:color="auto"/>
                <w:lang w:eastAsia="en-GB"/>
              </w:rPr>
              <w:t xml:space="preserve">C-ROADS ITALY </w:t>
            </w:r>
            <w:r>
              <w:rPr>
                <w:rFonts w:eastAsia="Times New Roman" w:cs="Times New Roman"/>
                <w:color w:val="auto"/>
                <w:sz w:val="16"/>
                <w:szCs w:val="16"/>
                <w:bdr w:val="none" w:sz="0" w:space="0" w:color="auto"/>
                <w:lang w:eastAsia="en-GB"/>
              </w:rPr>
              <w:t>2</w:t>
            </w:r>
            <w:r w:rsidR="0000635D">
              <w:rPr>
                <w:rFonts w:eastAsia="Times New Roman" w:cs="Times New Roman"/>
                <w:color w:val="auto"/>
                <w:sz w:val="16"/>
                <w:szCs w:val="16"/>
                <w:bdr w:val="none" w:sz="0" w:space="0" w:color="auto"/>
                <w:lang w:eastAsia="en-GB"/>
              </w:rPr>
              <w:t xml:space="preserve"> </w:t>
            </w:r>
          </w:p>
          <w:p w14:paraId="1038E198" w14:textId="77777777" w:rsidR="00B326C9" w:rsidRPr="00922A9B"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59" w:right="-95"/>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Implementazione di sistemi </w:t>
            </w:r>
            <w:proofErr w:type="spellStart"/>
            <w:r>
              <w:rPr>
                <w:rFonts w:eastAsia="Times New Roman" w:cs="Times New Roman"/>
                <w:color w:val="auto"/>
                <w:sz w:val="16"/>
                <w:szCs w:val="16"/>
                <w:bdr w:val="none" w:sz="0" w:space="0" w:color="auto"/>
                <w:lang w:eastAsia="en-GB"/>
              </w:rPr>
              <w:t>intel</w:t>
            </w:r>
            <w:r w:rsidR="0000635D">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ligenti</w:t>
            </w:r>
            <w:proofErr w:type="spellEnd"/>
            <w:r>
              <w:rPr>
                <w:rFonts w:eastAsia="Times New Roman" w:cs="Times New Roman"/>
                <w:color w:val="auto"/>
                <w:sz w:val="16"/>
                <w:szCs w:val="16"/>
                <w:bdr w:val="none" w:sz="0" w:space="0" w:color="auto"/>
                <w:lang w:eastAsia="en-GB"/>
              </w:rPr>
              <w:t xml:space="preserve"> di traspor</w:t>
            </w:r>
            <w:r w:rsidR="0000635D">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 xml:space="preserve">to </w:t>
            </w:r>
            <w:r w:rsidR="0000635D">
              <w:rPr>
                <w:rFonts w:eastAsia="Times New Roman" w:cs="Times New Roman"/>
                <w:color w:val="auto"/>
                <w:sz w:val="16"/>
                <w:szCs w:val="16"/>
                <w:bdr w:val="none" w:sz="0" w:space="0" w:color="auto"/>
                <w:lang w:eastAsia="en-GB"/>
              </w:rPr>
              <w:t>c</w:t>
            </w:r>
            <w:r w:rsidRPr="000B0912">
              <w:rPr>
                <w:rFonts w:eastAsia="Times New Roman" w:cs="Times New Roman"/>
                <w:color w:val="auto"/>
                <w:sz w:val="16"/>
                <w:szCs w:val="16"/>
                <w:bdr w:val="none" w:sz="0" w:space="0" w:color="auto"/>
                <w:lang w:eastAsia="en-GB"/>
              </w:rPr>
              <w:t>ooperat</w:t>
            </w:r>
            <w:r>
              <w:rPr>
                <w:rFonts w:eastAsia="Times New Roman" w:cs="Times New Roman"/>
                <w:color w:val="auto"/>
                <w:sz w:val="16"/>
                <w:szCs w:val="16"/>
                <w:bdr w:val="none" w:sz="0" w:space="0" w:color="auto"/>
                <w:lang w:eastAsia="en-GB"/>
              </w:rPr>
              <w:t xml:space="preserve">ivi  </w:t>
            </w:r>
            <w:proofErr w:type="gramStart"/>
            <w:r>
              <w:rPr>
                <w:rFonts w:eastAsia="Times New Roman" w:cs="Times New Roman"/>
                <w:color w:val="auto"/>
                <w:sz w:val="16"/>
                <w:szCs w:val="16"/>
                <w:bdr w:val="none" w:sz="0" w:space="0" w:color="auto"/>
                <w:lang w:eastAsia="en-GB"/>
              </w:rPr>
              <w:t xml:space="preserve">   (</w:t>
            </w:r>
            <w:proofErr w:type="gramEnd"/>
            <w:r>
              <w:rPr>
                <w:rFonts w:eastAsia="Times New Roman" w:cs="Times New Roman"/>
                <w:color w:val="auto"/>
                <w:sz w:val="16"/>
                <w:szCs w:val="16"/>
                <w:bdr w:val="none" w:sz="0" w:space="0" w:color="auto"/>
                <w:lang w:eastAsia="en-GB"/>
              </w:rPr>
              <w:t>C-ITS) nelle situazioni di traffico</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tcPr>
          <w:p w14:paraId="71334E05" w14:textId="77777777" w:rsidR="00B326C9" w:rsidRPr="002E17CB" w:rsidRDefault="00B326C9" w:rsidP="00DF70A5">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31/12/23</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tcPr>
          <w:p w14:paraId="584512C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13.740</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tcPr>
          <w:p w14:paraId="6CEEF50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6.870</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tcPr>
          <w:p w14:paraId="263BBE8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13.740</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tcPr>
          <w:p w14:paraId="5D081921"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6.870</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tcPr>
          <w:p w14:paraId="1AB8DEA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960</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tcPr>
          <w:p w14:paraId="41429A70"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jc w:val="center"/>
              <w:rPr>
                <w:sz w:val="16"/>
                <w:szCs w:val="16"/>
              </w:rPr>
            </w:pPr>
            <w:r>
              <w:rPr>
                <w:sz w:val="16"/>
                <w:szCs w:val="16"/>
              </w:rPr>
              <w:t>14,0</w:t>
            </w:r>
          </w:p>
        </w:tc>
        <w:tc>
          <w:tcPr>
            <w:tcW w:w="464" w:type="pct"/>
            <w:gridSpan w:val="6"/>
            <w:tcBorders>
              <w:top w:val="single" w:sz="4" w:space="0" w:color="auto"/>
              <w:left w:val="nil"/>
              <w:bottom w:val="single" w:sz="4" w:space="0" w:color="auto"/>
              <w:right w:val="single" w:sz="4" w:space="0" w:color="auto"/>
            </w:tcBorders>
            <w:shd w:val="clear" w:color="auto" w:fill="auto"/>
            <w:vAlign w:val="center"/>
          </w:tcPr>
          <w:p w14:paraId="332B9880"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407" w:type="pct"/>
            <w:gridSpan w:val="2"/>
            <w:tcBorders>
              <w:top w:val="single" w:sz="4" w:space="0" w:color="auto"/>
              <w:left w:val="nil"/>
              <w:bottom w:val="single" w:sz="4" w:space="0" w:color="auto"/>
              <w:right w:val="single" w:sz="4" w:space="0" w:color="auto"/>
            </w:tcBorders>
            <w:shd w:val="clear" w:color="auto" w:fill="auto"/>
            <w:vAlign w:val="center"/>
          </w:tcPr>
          <w:p w14:paraId="2A8629DD" w14:textId="77777777" w:rsidR="00B326C9" w:rsidRPr="002612CD"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1.426</w:t>
            </w:r>
          </w:p>
        </w:tc>
        <w:tc>
          <w:tcPr>
            <w:tcW w:w="199" w:type="pct"/>
            <w:gridSpan w:val="2"/>
            <w:tcBorders>
              <w:top w:val="single" w:sz="4" w:space="0" w:color="auto"/>
              <w:left w:val="nil"/>
              <w:bottom w:val="single" w:sz="4" w:space="0" w:color="auto"/>
            </w:tcBorders>
            <w:shd w:val="clear" w:color="auto" w:fill="auto"/>
            <w:vAlign w:val="center"/>
          </w:tcPr>
          <w:p w14:paraId="7800C212" w14:textId="77777777" w:rsidR="00B326C9" w:rsidRPr="005D4641"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1" w:right="-109"/>
              <w:jc w:val="center"/>
              <w:rPr>
                <w:sz w:val="16"/>
                <w:szCs w:val="16"/>
              </w:rPr>
            </w:pPr>
            <w:r>
              <w:rPr>
                <w:sz w:val="16"/>
                <w:szCs w:val="16"/>
              </w:rPr>
              <w:t>10</w:t>
            </w:r>
          </w:p>
        </w:tc>
      </w:tr>
      <w:tr w:rsidR="00B326C9" w:rsidRPr="00922A9B" w14:paraId="3BF258D3" w14:textId="77777777" w:rsidTr="00C56F61">
        <w:trPr>
          <w:trHeight w:val="471"/>
        </w:trPr>
        <w:tc>
          <w:tcPr>
            <w:tcW w:w="1408" w:type="pct"/>
            <w:gridSpan w:val="7"/>
            <w:tcBorders>
              <w:top w:val="single" w:sz="4" w:space="0" w:color="auto"/>
              <w:left w:val="nil"/>
              <w:bottom w:val="single" w:sz="4" w:space="0" w:color="auto"/>
              <w:right w:val="single" w:sz="4" w:space="0" w:color="auto"/>
            </w:tcBorders>
            <w:shd w:val="clear" w:color="auto" w:fill="auto"/>
            <w:noWrap/>
            <w:vAlign w:val="center"/>
            <w:hideMark/>
          </w:tcPr>
          <w:p w14:paraId="4B57788B" w14:textId="77777777" w:rsidR="00B326C9" w:rsidRPr="001D1CF8"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34" w:right="-252" w:hanging="34"/>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Sub-totale modalità </w:t>
            </w:r>
            <w:r w:rsidRPr="001D1CF8">
              <w:rPr>
                <w:rFonts w:eastAsia="Times New Roman" w:cs="Times New Roman"/>
                <w:b/>
                <w:bCs/>
                <w:color w:val="auto"/>
                <w:sz w:val="16"/>
                <w:szCs w:val="16"/>
                <w:bdr w:val="none" w:sz="0" w:space="0" w:color="auto"/>
                <w:lang w:eastAsia="en-GB"/>
              </w:rPr>
              <w:t>ITS</w:t>
            </w:r>
            <w:r w:rsidRPr="008A76C4">
              <w:rPr>
                <w:rFonts w:eastAsia="Times New Roman" w:cs="Times New Roman"/>
                <w:b/>
                <w:bCs/>
                <w:color w:val="auto"/>
                <w:sz w:val="16"/>
                <w:szCs w:val="16"/>
                <w:bdr w:val="none" w:sz="0" w:space="0" w:color="auto"/>
                <w:vertAlign w:val="superscript"/>
                <w:lang w:eastAsia="en-GB"/>
              </w:rPr>
              <w:t>1</w:t>
            </w:r>
            <w:r>
              <w:rPr>
                <w:rFonts w:eastAsia="Times New Roman" w:cs="Times New Roman"/>
                <w:b/>
                <w:bCs/>
                <w:color w:val="auto"/>
                <w:sz w:val="16"/>
                <w:szCs w:val="16"/>
                <w:bdr w:val="none" w:sz="0" w:space="0" w:color="auto"/>
                <w:vertAlign w:val="superscript"/>
                <w:lang w:eastAsia="en-GB"/>
              </w:rPr>
              <w:t>5</w:t>
            </w:r>
            <w:r w:rsidRPr="001D1CF8">
              <w:rPr>
                <w:rFonts w:eastAsia="Times New Roman" w:cs="Times New Roman"/>
                <w:b/>
                <w:bCs/>
                <w:color w:val="auto"/>
                <w:sz w:val="16"/>
                <w:szCs w:val="16"/>
                <w:bdr w:val="none" w:sz="0" w:space="0" w:color="auto"/>
                <w:lang w:eastAsia="en-GB"/>
              </w:rPr>
              <w:t>/</w:t>
            </w:r>
            <w:r>
              <w:rPr>
                <w:rFonts w:eastAsia="Times New Roman" w:cs="Times New Roman"/>
                <w:b/>
                <w:bCs/>
                <w:color w:val="auto"/>
                <w:sz w:val="16"/>
                <w:szCs w:val="16"/>
                <w:bdr w:val="none" w:sz="0" w:space="0" w:color="auto"/>
                <w:lang w:eastAsia="en-GB"/>
              </w:rPr>
              <w:t xml:space="preserve"> </w:t>
            </w:r>
            <w:r w:rsidRPr="001D1CF8">
              <w:rPr>
                <w:rFonts w:eastAsia="Times New Roman" w:cs="Times New Roman"/>
                <w:b/>
                <w:bCs/>
                <w:color w:val="auto"/>
                <w:sz w:val="16"/>
                <w:szCs w:val="16"/>
                <w:bdr w:val="none" w:sz="0" w:space="0" w:color="auto"/>
                <w:lang w:eastAsia="en-GB"/>
              </w:rPr>
              <w:t>STRADALE</w:t>
            </w:r>
          </w:p>
        </w:tc>
        <w:tc>
          <w:tcPr>
            <w:tcW w:w="445" w:type="pct"/>
            <w:gridSpan w:val="3"/>
            <w:tcBorders>
              <w:top w:val="single" w:sz="4" w:space="0" w:color="auto"/>
              <w:left w:val="nil"/>
              <w:bottom w:val="single" w:sz="4" w:space="0" w:color="auto"/>
              <w:right w:val="single" w:sz="4" w:space="0" w:color="auto"/>
            </w:tcBorders>
            <w:shd w:val="clear" w:color="auto" w:fill="auto"/>
            <w:noWrap/>
            <w:vAlign w:val="center"/>
            <w:hideMark/>
          </w:tcPr>
          <w:p w14:paraId="75B853E5" w14:textId="77777777" w:rsidR="00B326C9" w:rsidRPr="00417E27"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sidRPr="00417E27">
              <w:rPr>
                <w:rFonts w:eastAsia="Times New Roman" w:cs="Times New Roman"/>
                <w:b/>
                <w:color w:val="auto"/>
                <w:sz w:val="16"/>
                <w:szCs w:val="16"/>
                <w:bdr w:val="none" w:sz="0" w:space="0" w:color="auto"/>
                <w:lang w:eastAsia="en-GB"/>
              </w:rPr>
              <w:t>280.</w:t>
            </w:r>
            <w:r w:rsidR="00FA3D7B">
              <w:rPr>
                <w:rFonts w:eastAsia="Times New Roman" w:cs="Times New Roman"/>
                <w:b/>
                <w:color w:val="auto"/>
                <w:sz w:val="16"/>
                <w:szCs w:val="16"/>
                <w:bdr w:val="none" w:sz="0" w:space="0" w:color="auto"/>
                <w:lang w:eastAsia="en-GB"/>
              </w:rPr>
              <w:t>825</w:t>
            </w:r>
          </w:p>
        </w:tc>
        <w:tc>
          <w:tcPr>
            <w:tcW w:w="420" w:type="pct"/>
            <w:gridSpan w:val="2"/>
            <w:tcBorders>
              <w:top w:val="single" w:sz="4" w:space="0" w:color="auto"/>
              <w:left w:val="nil"/>
              <w:bottom w:val="single" w:sz="4" w:space="0" w:color="auto"/>
              <w:right w:val="single" w:sz="4" w:space="0" w:color="auto"/>
            </w:tcBorders>
            <w:shd w:val="clear" w:color="auto" w:fill="auto"/>
            <w:noWrap/>
            <w:vAlign w:val="center"/>
            <w:hideMark/>
          </w:tcPr>
          <w:p w14:paraId="3B776B82" w14:textId="77777777" w:rsidR="00B326C9" w:rsidRPr="00417E27" w:rsidRDefault="009533B5" w:rsidP="0000635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Pr>
                <w:rFonts w:eastAsia="Times New Roman" w:cs="Times New Roman"/>
                <w:b/>
                <w:color w:val="auto"/>
                <w:sz w:val="16"/>
                <w:szCs w:val="16"/>
                <w:bdr w:val="none" w:sz="0" w:space="0" w:color="auto"/>
                <w:lang w:eastAsia="en-GB"/>
              </w:rPr>
              <w:t>73.305</w:t>
            </w:r>
          </w:p>
        </w:tc>
        <w:tc>
          <w:tcPr>
            <w:tcW w:w="452" w:type="pct"/>
            <w:gridSpan w:val="3"/>
            <w:tcBorders>
              <w:top w:val="single" w:sz="4" w:space="0" w:color="auto"/>
              <w:left w:val="nil"/>
              <w:bottom w:val="single" w:sz="4" w:space="0" w:color="auto"/>
              <w:right w:val="single" w:sz="4" w:space="0" w:color="auto"/>
            </w:tcBorders>
            <w:shd w:val="clear" w:color="auto" w:fill="auto"/>
            <w:noWrap/>
            <w:vAlign w:val="center"/>
            <w:hideMark/>
          </w:tcPr>
          <w:p w14:paraId="6F6422AE" w14:textId="77777777" w:rsidR="00B326C9" w:rsidRPr="00417E27" w:rsidRDefault="0000635D" w:rsidP="0000635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Pr>
                <w:rFonts w:eastAsia="Times New Roman" w:cs="Times New Roman"/>
                <w:b/>
                <w:color w:val="auto"/>
                <w:sz w:val="16"/>
                <w:szCs w:val="16"/>
                <w:bdr w:val="none" w:sz="0" w:space="0" w:color="auto"/>
                <w:lang w:eastAsia="en-GB"/>
              </w:rPr>
              <w:t>1</w:t>
            </w:r>
            <w:r w:rsidR="00B326C9">
              <w:rPr>
                <w:rFonts w:eastAsia="Times New Roman" w:cs="Times New Roman"/>
                <w:b/>
                <w:color w:val="auto"/>
                <w:sz w:val="16"/>
                <w:szCs w:val="16"/>
                <w:bdr w:val="none" w:sz="0" w:space="0" w:color="auto"/>
                <w:lang w:eastAsia="en-GB"/>
              </w:rPr>
              <w:t>.110.47</w:t>
            </w:r>
            <w:r w:rsidR="00B326C9" w:rsidRPr="00417E27">
              <w:rPr>
                <w:rFonts w:eastAsia="Times New Roman" w:cs="Times New Roman"/>
                <w:b/>
                <w:color w:val="auto"/>
                <w:sz w:val="16"/>
                <w:szCs w:val="16"/>
                <w:bdr w:val="none" w:sz="0" w:space="0" w:color="auto"/>
                <w:lang w:eastAsia="en-GB"/>
              </w:rPr>
              <w:t>8</w:t>
            </w:r>
          </w:p>
        </w:tc>
        <w:tc>
          <w:tcPr>
            <w:tcW w:w="456" w:type="pct"/>
            <w:gridSpan w:val="5"/>
            <w:tcBorders>
              <w:top w:val="single" w:sz="4" w:space="0" w:color="auto"/>
              <w:left w:val="nil"/>
              <w:bottom w:val="single" w:sz="4" w:space="0" w:color="auto"/>
              <w:right w:val="single" w:sz="4" w:space="0" w:color="auto"/>
            </w:tcBorders>
            <w:shd w:val="clear" w:color="auto" w:fill="auto"/>
            <w:noWrap/>
            <w:vAlign w:val="center"/>
            <w:hideMark/>
          </w:tcPr>
          <w:p w14:paraId="6F935FD9" w14:textId="77777777" w:rsidR="00B326C9" w:rsidRPr="00417E27"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sidRPr="00417E27">
              <w:rPr>
                <w:rFonts w:eastAsia="Times New Roman" w:cs="Times New Roman"/>
                <w:b/>
                <w:color w:val="auto"/>
                <w:sz w:val="16"/>
                <w:szCs w:val="16"/>
                <w:bdr w:val="none" w:sz="0" w:space="0" w:color="auto"/>
                <w:lang w:eastAsia="en-GB"/>
              </w:rPr>
              <w:t>283.668</w:t>
            </w:r>
          </w:p>
        </w:tc>
        <w:tc>
          <w:tcPr>
            <w:tcW w:w="466" w:type="pct"/>
            <w:gridSpan w:val="4"/>
            <w:tcBorders>
              <w:top w:val="single" w:sz="4" w:space="0" w:color="auto"/>
              <w:left w:val="nil"/>
              <w:bottom w:val="single" w:sz="4" w:space="0" w:color="auto"/>
              <w:right w:val="single" w:sz="4" w:space="0" w:color="auto"/>
            </w:tcBorders>
            <w:shd w:val="clear" w:color="auto" w:fill="auto"/>
            <w:noWrap/>
            <w:vAlign w:val="center"/>
            <w:hideMark/>
          </w:tcPr>
          <w:p w14:paraId="03D104BE" w14:textId="77777777" w:rsidR="00B326C9" w:rsidRPr="00417E27" w:rsidRDefault="00B326C9" w:rsidP="009533B5">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Pr>
                <w:rFonts w:eastAsia="Times New Roman" w:cs="Times New Roman"/>
                <w:b/>
                <w:color w:val="auto"/>
                <w:sz w:val="16"/>
                <w:szCs w:val="16"/>
                <w:bdr w:val="none" w:sz="0" w:space="0" w:color="auto"/>
                <w:lang w:eastAsia="en-GB"/>
              </w:rPr>
              <w:t>18.0</w:t>
            </w:r>
            <w:r w:rsidRPr="00417E27">
              <w:rPr>
                <w:rFonts w:eastAsia="Times New Roman" w:cs="Times New Roman"/>
                <w:b/>
                <w:color w:val="auto"/>
                <w:sz w:val="16"/>
                <w:szCs w:val="16"/>
                <w:bdr w:val="none" w:sz="0" w:space="0" w:color="auto"/>
                <w:lang w:eastAsia="en-GB"/>
              </w:rPr>
              <w:t>3</w:t>
            </w:r>
            <w:r>
              <w:rPr>
                <w:rFonts w:eastAsia="Times New Roman" w:cs="Times New Roman"/>
                <w:b/>
                <w:color w:val="auto"/>
                <w:sz w:val="16"/>
                <w:szCs w:val="16"/>
                <w:bdr w:val="none" w:sz="0" w:space="0" w:color="auto"/>
                <w:lang w:eastAsia="en-GB"/>
              </w:rPr>
              <w:t>5</w:t>
            </w:r>
          </w:p>
        </w:tc>
        <w:tc>
          <w:tcPr>
            <w:tcW w:w="283" w:type="pct"/>
            <w:gridSpan w:val="3"/>
            <w:tcBorders>
              <w:top w:val="single" w:sz="4" w:space="0" w:color="auto"/>
              <w:left w:val="nil"/>
              <w:bottom w:val="single" w:sz="4" w:space="0" w:color="auto"/>
              <w:right w:val="single" w:sz="4" w:space="0" w:color="auto"/>
            </w:tcBorders>
            <w:shd w:val="clear" w:color="auto" w:fill="auto"/>
            <w:noWrap/>
            <w:vAlign w:val="center"/>
            <w:hideMark/>
          </w:tcPr>
          <w:p w14:paraId="04AF98B6" w14:textId="77777777" w:rsidR="00B326C9" w:rsidRPr="00417E2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41"/>
              <w:rPr>
                <w:rFonts w:eastAsia="Times New Roman" w:cs="Times New Roman"/>
                <w:b/>
                <w:color w:val="auto"/>
                <w:sz w:val="16"/>
                <w:szCs w:val="16"/>
                <w:bdr w:val="none" w:sz="0" w:space="0" w:color="auto"/>
                <w:lang w:eastAsia="en-GB"/>
              </w:rPr>
            </w:pPr>
            <w:r w:rsidRPr="00417E27">
              <w:rPr>
                <w:rFonts w:eastAsia="Times New Roman" w:cs="Times New Roman"/>
                <w:b/>
                <w:color w:val="auto"/>
                <w:sz w:val="16"/>
                <w:szCs w:val="16"/>
                <w:bdr w:val="none" w:sz="0" w:space="0" w:color="auto"/>
                <w:lang w:eastAsia="en-GB"/>
              </w:rPr>
              <w:t xml:space="preserve"> </w:t>
            </w:r>
            <w:r>
              <w:rPr>
                <w:rFonts w:eastAsia="Times New Roman" w:cs="Times New Roman"/>
                <w:b/>
                <w:color w:val="auto"/>
                <w:sz w:val="16"/>
                <w:szCs w:val="16"/>
                <w:bdr w:val="none" w:sz="0" w:space="0" w:color="auto"/>
                <w:lang w:eastAsia="en-GB"/>
              </w:rPr>
              <w:t>24,6</w:t>
            </w:r>
          </w:p>
        </w:tc>
        <w:tc>
          <w:tcPr>
            <w:tcW w:w="464" w:type="pct"/>
            <w:gridSpan w:val="6"/>
            <w:tcBorders>
              <w:top w:val="single" w:sz="4" w:space="0" w:color="auto"/>
              <w:left w:val="nil"/>
              <w:bottom w:val="single" w:sz="4" w:space="0" w:color="auto"/>
              <w:right w:val="single" w:sz="4" w:space="0" w:color="auto"/>
            </w:tcBorders>
            <w:shd w:val="clear" w:color="auto" w:fill="auto"/>
            <w:vAlign w:val="center"/>
            <w:hideMark/>
          </w:tcPr>
          <w:p w14:paraId="5F822D9F" w14:textId="77777777" w:rsidR="00B326C9" w:rsidRPr="00417E2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sidRPr="00417E27">
              <w:rPr>
                <w:rFonts w:eastAsia="Times New Roman" w:cs="Times New Roman"/>
                <w:b/>
                <w:color w:val="auto"/>
                <w:sz w:val="16"/>
                <w:szCs w:val="16"/>
                <w:bdr w:val="none" w:sz="0" w:space="0" w:color="auto"/>
                <w:lang w:eastAsia="en-GB"/>
              </w:rPr>
              <w:t xml:space="preserve">       </w:t>
            </w:r>
            <w:r>
              <w:rPr>
                <w:rFonts w:eastAsia="Times New Roman" w:cs="Times New Roman"/>
                <w:b/>
                <w:color w:val="auto"/>
                <w:sz w:val="16"/>
                <w:szCs w:val="16"/>
                <w:bdr w:val="none" w:sz="0" w:space="0" w:color="auto"/>
                <w:lang w:eastAsia="en-GB"/>
              </w:rPr>
              <w:t>-278</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201D0CBF" w14:textId="77777777" w:rsidR="00B326C9" w:rsidRPr="00417E2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color w:val="auto"/>
                <w:sz w:val="16"/>
                <w:szCs w:val="16"/>
                <w:bdr w:val="none" w:sz="0" w:space="0" w:color="auto"/>
                <w:lang w:eastAsia="en-GB"/>
              </w:rPr>
            </w:pPr>
            <w:r w:rsidRPr="00417E27">
              <w:rPr>
                <w:rFonts w:eastAsia="Times New Roman" w:cs="Times New Roman"/>
                <w:b/>
                <w:color w:val="auto"/>
                <w:sz w:val="16"/>
                <w:szCs w:val="16"/>
                <w:bdr w:val="none" w:sz="0" w:space="0" w:color="auto"/>
                <w:lang w:eastAsia="en-GB"/>
              </w:rPr>
              <w:t xml:space="preserve"> </w:t>
            </w:r>
            <w:r>
              <w:rPr>
                <w:rFonts w:eastAsia="Times New Roman" w:cs="Times New Roman"/>
                <w:b/>
                <w:color w:val="auto"/>
                <w:sz w:val="16"/>
                <w:szCs w:val="16"/>
                <w:bdr w:val="none" w:sz="0" w:space="0" w:color="auto"/>
                <w:lang w:eastAsia="en-GB"/>
              </w:rPr>
              <w:t>94.736</w:t>
            </w:r>
          </w:p>
        </w:tc>
        <w:tc>
          <w:tcPr>
            <w:tcW w:w="199" w:type="pct"/>
            <w:gridSpan w:val="2"/>
            <w:tcBorders>
              <w:top w:val="single" w:sz="4" w:space="0" w:color="auto"/>
              <w:left w:val="nil"/>
              <w:bottom w:val="single" w:sz="4" w:space="0" w:color="auto"/>
            </w:tcBorders>
            <w:shd w:val="clear" w:color="auto" w:fill="auto"/>
            <w:vAlign w:val="center"/>
            <w:hideMark/>
          </w:tcPr>
          <w:p w14:paraId="157EC904" w14:textId="77777777" w:rsidR="00B326C9" w:rsidRPr="00417E27"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11" w:right="-109"/>
              <w:jc w:val="center"/>
              <w:rPr>
                <w:rFonts w:eastAsia="Times New Roman" w:cs="Times New Roman"/>
                <w:b/>
                <w:bCs/>
                <w:color w:val="auto"/>
                <w:sz w:val="16"/>
                <w:szCs w:val="16"/>
                <w:bdr w:val="none" w:sz="0" w:space="0" w:color="auto"/>
                <w:lang w:eastAsia="en-GB"/>
              </w:rPr>
            </w:pPr>
            <w:r>
              <w:rPr>
                <w:b/>
                <w:bCs/>
                <w:sz w:val="16"/>
                <w:szCs w:val="16"/>
              </w:rPr>
              <w:t>34</w:t>
            </w:r>
            <w:r>
              <w:rPr>
                <w:b/>
                <w:bCs/>
                <w:sz w:val="16"/>
                <w:szCs w:val="16"/>
                <w:vertAlign w:val="superscript"/>
              </w:rPr>
              <w:t>14</w:t>
            </w:r>
          </w:p>
        </w:tc>
      </w:tr>
      <w:tr w:rsidR="00B326C9" w:rsidRPr="00922A9B" w14:paraId="3573A4AF" w14:textId="77777777" w:rsidTr="00C56F61">
        <w:trPr>
          <w:trHeight w:val="397"/>
        </w:trPr>
        <w:tc>
          <w:tcPr>
            <w:tcW w:w="5000" w:type="pct"/>
            <w:gridSpan w:val="37"/>
            <w:tcBorders>
              <w:top w:val="single" w:sz="4" w:space="0" w:color="auto"/>
              <w:left w:val="nil"/>
              <w:bottom w:val="single" w:sz="4" w:space="0" w:color="auto"/>
            </w:tcBorders>
            <w:shd w:val="clear" w:color="auto" w:fill="auto"/>
            <w:noWrap/>
            <w:vAlign w:val="center"/>
          </w:tcPr>
          <w:p w14:paraId="5B465D3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b/>
                <w:bCs/>
                <w:color w:val="auto"/>
                <w:sz w:val="16"/>
                <w:szCs w:val="16"/>
                <w:bdr w:val="none" w:sz="0" w:space="0" w:color="auto"/>
                <w:lang w:eastAsia="en-GB"/>
              </w:rPr>
            </w:pPr>
          </w:p>
        </w:tc>
      </w:tr>
      <w:tr w:rsidR="00B326C9" w:rsidRPr="00922A9B" w14:paraId="76AD59F2" w14:textId="77777777" w:rsidTr="00C56F61">
        <w:trPr>
          <w:trHeight w:val="397"/>
        </w:trPr>
        <w:tc>
          <w:tcPr>
            <w:tcW w:w="5000" w:type="pct"/>
            <w:gridSpan w:val="37"/>
            <w:tcBorders>
              <w:top w:val="single" w:sz="4" w:space="0" w:color="auto"/>
              <w:left w:val="nil"/>
              <w:bottom w:val="single" w:sz="4" w:space="0" w:color="auto"/>
            </w:tcBorders>
            <w:shd w:val="clear" w:color="auto" w:fill="auto"/>
            <w:noWrap/>
            <w:vAlign w:val="center"/>
            <w:hideMark/>
          </w:tcPr>
          <w:p w14:paraId="308197E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color w:val="auto"/>
                <w:sz w:val="16"/>
                <w:szCs w:val="16"/>
                <w:bdr w:val="none" w:sz="0" w:space="0" w:color="auto"/>
                <w:lang w:eastAsia="en-GB"/>
              </w:rPr>
            </w:pPr>
            <w:proofErr w:type="gramStart"/>
            <w:r w:rsidRPr="00922A9B">
              <w:rPr>
                <w:rFonts w:eastAsia="Times New Roman" w:cs="Times New Roman"/>
                <w:b/>
                <w:bCs/>
                <w:color w:val="auto"/>
                <w:sz w:val="16"/>
                <w:szCs w:val="16"/>
                <w:bdr w:val="none" w:sz="0" w:space="0" w:color="auto"/>
                <w:lang w:eastAsia="en-GB"/>
              </w:rPr>
              <w:t xml:space="preserve">Modalità:  </w:t>
            </w:r>
            <w:r w:rsidR="00AF3C37">
              <w:rPr>
                <w:rFonts w:eastAsia="Times New Roman" w:cs="Times New Roman"/>
                <w:b/>
                <w:bCs/>
                <w:color w:val="auto"/>
                <w:sz w:val="16"/>
                <w:szCs w:val="16"/>
                <w:bdr w:val="none" w:sz="0" w:space="0" w:color="auto"/>
                <w:lang w:eastAsia="en-GB"/>
              </w:rPr>
              <w:t>V</w:t>
            </w:r>
            <w:r>
              <w:rPr>
                <w:rFonts w:eastAsia="Times New Roman" w:cs="Times New Roman"/>
                <w:b/>
                <w:bCs/>
                <w:color w:val="auto"/>
                <w:sz w:val="16"/>
                <w:szCs w:val="16"/>
                <w:bdr w:val="none" w:sz="0" w:space="0" w:color="auto"/>
                <w:lang w:eastAsia="en-GB"/>
              </w:rPr>
              <w:t>TM</w:t>
            </w:r>
            <w:r w:rsidR="00AF3C37">
              <w:rPr>
                <w:rFonts w:eastAsia="Times New Roman" w:cs="Times New Roman"/>
                <w:b/>
                <w:bCs/>
                <w:color w:val="auto"/>
                <w:sz w:val="16"/>
                <w:szCs w:val="16"/>
                <w:bdr w:val="none" w:sz="0" w:space="0" w:color="auto"/>
                <w:lang w:eastAsia="en-GB"/>
              </w:rPr>
              <w:t>I</w:t>
            </w:r>
            <w:r>
              <w:rPr>
                <w:rFonts w:eastAsia="Times New Roman" w:cs="Times New Roman"/>
                <w:b/>
                <w:bCs/>
                <w:color w:val="auto"/>
                <w:sz w:val="16"/>
                <w:szCs w:val="16"/>
                <w:bdr w:val="none" w:sz="0" w:space="0" w:color="auto"/>
                <w:lang w:eastAsia="en-GB"/>
              </w:rPr>
              <w:t>S</w:t>
            </w:r>
            <w:proofErr w:type="gramEnd"/>
            <w:r w:rsidRPr="00F04FEF">
              <w:rPr>
                <w:rFonts w:eastAsia="Times New Roman" w:cs="Times New Roman"/>
                <w:b/>
                <w:bCs/>
                <w:color w:val="auto"/>
                <w:sz w:val="16"/>
                <w:szCs w:val="16"/>
                <w:bdr w:val="none" w:sz="0" w:space="0" w:color="auto"/>
                <w:vertAlign w:val="superscript"/>
                <w:lang w:eastAsia="en-GB"/>
              </w:rPr>
              <w:t>1</w:t>
            </w:r>
            <w:r>
              <w:rPr>
                <w:rFonts w:eastAsia="Times New Roman" w:cs="Times New Roman"/>
                <w:b/>
                <w:bCs/>
                <w:color w:val="auto"/>
                <w:sz w:val="16"/>
                <w:szCs w:val="16"/>
                <w:bdr w:val="none" w:sz="0" w:space="0" w:color="auto"/>
                <w:vertAlign w:val="superscript"/>
                <w:lang w:eastAsia="en-GB"/>
              </w:rPr>
              <w:t>7</w:t>
            </w:r>
            <w:r>
              <w:rPr>
                <w:rFonts w:eastAsia="Times New Roman" w:cs="Times New Roman"/>
                <w:b/>
                <w:bCs/>
                <w:color w:val="auto"/>
                <w:sz w:val="16"/>
                <w:szCs w:val="16"/>
                <w:bdr w:val="none" w:sz="0" w:space="0" w:color="auto"/>
                <w:lang w:eastAsia="en-GB"/>
              </w:rPr>
              <w:t>/PORTUALE/AdM</w:t>
            </w:r>
            <w:r w:rsidRPr="00F04FEF">
              <w:rPr>
                <w:rFonts w:eastAsia="Times New Roman" w:cs="Times New Roman"/>
                <w:b/>
                <w:bCs/>
                <w:color w:val="auto"/>
                <w:sz w:val="16"/>
                <w:szCs w:val="16"/>
                <w:bdr w:val="none" w:sz="0" w:space="0" w:color="auto"/>
                <w:vertAlign w:val="superscript"/>
                <w:lang w:eastAsia="en-GB"/>
              </w:rPr>
              <w:t>1</w:t>
            </w:r>
            <w:r>
              <w:rPr>
                <w:rFonts w:eastAsia="Times New Roman" w:cs="Times New Roman"/>
                <w:color w:val="auto"/>
                <w:sz w:val="16"/>
                <w:szCs w:val="16"/>
                <w:bdr w:val="none" w:sz="0" w:space="0" w:color="auto"/>
                <w:vertAlign w:val="superscript"/>
                <w:lang w:eastAsia="en-GB"/>
              </w:rPr>
              <w:t>8</w:t>
            </w:r>
          </w:p>
        </w:tc>
      </w:tr>
      <w:tr w:rsidR="00767928" w:rsidRPr="00310D3C" w14:paraId="27FB28B3" w14:textId="77777777" w:rsidTr="00C56F61">
        <w:trPr>
          <w:cantSplit/>
          <w:trHeight w:val="1797"/>
        </w:trPr>
        <w:tc>
          <w:tcPr>
            <w:tcW w:w="230" w:type="pct"/>
            <w:tcBorders>
              <w:top w:val="single" w:sz="4" w:space="0" w:color="auto"/>
              <w:left w:val="nil"/>
              <w:bottom w:val="single" w:sz="4" w:space="0" w:color="auto"/>
              <w:right w:val="single" w:sz="4" w:space="0" w:color="auto"/>
            </w:tcBorders>
            <w:shd w:val="clear" w:color="auto" w:fill="auto"/>
            <w:noWrap/>
            <w:textDirection w:val="btLr"/>
            <w:vAlign w:val="center"/>
          </w:tcPr>
          <w:p w14:paraId="7360A1BB" w14:textId="77777777" w:rsidR="00767928" w:rsidRPr="001D1CF8"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8C2031">
              <w:rPr>
                <w:rFonts w:eastAsia="Times New Roman" w:cs="Times New Roman"/>
                <w:b/>
                <w:bCs/>
                <w:color w:val="auto"/>
                <w:sz w:val="16"/>
                <w:szCs w:val="16"/>
                <w:bdr w:val="none" w:sz="0" w:space="0" w:color="auto"/>
                <w:lang w:eastAsia="en-GB"/>
              </w:rPr>
              <w:t>a. ID</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D2976D9" w14:textId="77777777" w:rsidR="00767928" w:rsidRPr="001D1CF8"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b. Codice </w:t>
            </w:r>
            <w:r w:rsidRPr="002A6033">
              <w:rPr>
                <w:rFonts w:eastAsia="Times New Roman" w:cs="Times New Roman"/>
                <w:b/>
                <w:bCs/>
                <w:color w:val="auto"/>
                <w:sz w:val="16"/>
                <w:szCs w:val="16"/>
                <w:bdr w:val="none" w:sz="0" w:space="0" w:color="auto"/>
                <w:lang w:eastAsia="en-GB"/>
              </w:rPr>
              <w:t>Azione</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AC13CAC" w14:textId="77777777" w:rsidR="00767928" w:rsidRPr="001D1CF8"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c. Titolo A</w:t>
            </w:r>
            <w:r w:rsidRPr="002A6033">
              <w:rPr>
                <w:rFonts w:eastAsia="Times New Roman" w:cs="Times New Roman"/>
                <w:b/>
                <w:bCs/>
                <w:color w:val="auto"/>
                <w:sz w:val="16"/>
                <w:szCs w:val="16"/>
                <w:bdr w:val="none" w:sz="0" w:space="0" w:color="auto"/>
                <w:lang w:eastAsia="en-GB"/>
              </w:rPr>
              <w:t>zione</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02416429" w14:textId="77777777" w:rsidR="00767928" w:rsidRPr="001D1CF8"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d. </w:t>
            </w:r>
            <w:r w:rsidRPr="002A6033">
              <w:rPr>
                <w:rFonts w:eastAsia="Times New Roman" w:cs="Times New Roman"/>
                <w:b/>
                <w:bCs/>
                <w:color w:val="auto"/>
                <w:sz w:val="16"/>
                <w:szCs w:val="16"/>
                <w:bdr w:val="none" w:sz="0" w:space="0" w:color="auto"/>
                <w:lang w:eastAsia="en-GB"/>
              </w:rPr>
              <w:t>Data fine Azione</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1AC2BEC" w14:textId="77777777" w:rsidR="00767928" w:rsidRPr="006362D4" w:rsidRDefault="00767928" w:rsidP="00E809C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e. Costo Azione IT</w:t>
            </w:r>
          </w:p>
          <w:p w14:paraId="651DCAF6"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3</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300221F"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f. Contri</w:t>
            </w:r>
            <w:r>
              <w:rPr>
                <w:rFonts w:eastAsia="Times New Roman" w:cs="Times New Roman"/>
                <w:b/>
                <w:bCs/>
                <w:color w:val="auto"/>
                <w:sz w:val="16"/>
                <w:szCs w:val="16"/>
                <w:bdr w:val="none" w:sz="0" w:space="0" w:color="auto"/>
                <w:lang w:eastAsia="en-GB"/>
              </w:rPr>
              <w:t>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4</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729E888"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g. Costo totale Azione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5</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DCAB17A"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h. Contributo</w:t>
            </w:r>
            <w:r>
              <w:rPr>
                <w:rFonts w:eastAsia="Times New Roman" w:cs="Times New Roman"/>
                <w:b/>
                <w:bCs/>
                <w:color w:val="auto"/>
                <w:sz w:val="16"/>
                <w:szCs w:val="16"/>
                <w:bdr w:val="none" w:sz="0" w:space="0" w:color="auto"/>
                <w:lang w:eastAsia="en-GB"/>
              </w:rPr>
              <w:t xml:space="preserve"> comunitario totale assegnato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6</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40769C5"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i. Totale contributo comunitar</w:t>
            </w:r>
            <w:r>
              <w:rPr>
                <w:rFonts w:eastAsia="Times New Roman" w:cs="Times New Roman"/>
                <w:b/>
                <w:bCs/>
                <w:color w:val="auto"/>
                <w:sz w:val="16"/>
                <w:szCs w:val="16"/>
                <w:bdr w:val="none" w:sz="0" w:space="0" w:color="auto"/>
                <w:lang w:eastAsia="en-GB"/>
              </w:rPr>
              <w:t>io incassato IT al 30.04.2020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7</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B7152E1"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 xml:space="preserve">j. Contributo incassato rispetto al contributo assegnato </w:t>
            </w:r>
            <w:proofErr w:type="gramStart"/>
            <w:r w:rsidRPr="006362D4">
              <w:rPr>
                <w:rFonts w:eastAsia="Times New Roman" w:cs="Times New Roman"/>
                <w:b/>
                <w:bCs/>
                <w:color w:val="auto"/>
                <w:sz w:val="16"/>
                <w:szCs w:val="16"/>
                <w:bdr w:val="none" w:sz="0" w:space="0" w:color="auto"/>
                <w:lang w:eastAsia="en-GB"/>
              </w:rPr>
              <w:t>IT(</w:t>
            </w:r>
            <w:proofErr w:type="gramEnd"/>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8</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58550F0"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k. Varia</w:t>
            </w:r>
            <w:r>
              <w:rPr>
                <w:rFonts w:eastAsia="Times New Roman" w:cs="Times New Roman"/>
                <w:b/>
                <w:bCs/>
                <w:color w:val="auto"/>
                <w:sz w:val="16"/>
                <w:szCs w:val="16"/>
                <w:bdr w:val="none" w:sz="0" w:space="0" w:color="auto"/>
                <w:lang w:eastAsia="en-GB"/>
              </w:rPr>
              <w:t>zione contributo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9</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67EE0CD" w14:textId="77777777" w:rsidR="00767928" w:rsidRPr="00922A9B"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l. Importo speso IT al 31/12/</w:t>
            </w:r>
            <w:proofErr w:type="gramStart"/>
            <w:r w:rsidRPr="006362D4">
              <w:rPr>
                <w:rFonts w:eastAsia="Times New Roman" w:cs="Times New Roman"/>
                <w:b/>
                <w:bCs/>
                <w:color w:val="auto"/>
                <w:sz w:val="16"/>
                <w:szCs w:val="16"/>
                <w:bdr w:val="none" w:sz="0" w:space="0" w:color="auto"/>
                <w:lang w:eastAsia="en-GB"/>
              </w:rPr>
              <w:t>1</w:t>
            </w:r>
            <w:r>
              <w:rPr>
                <w:rFonts w:eastAsia="Times New Roman" w:cs="Times New Roman"/>
                <w:b/>
                <w:bCs/>
                <w:color w:val="auto"/>
                <w:sz w:val="16"/>
                <w:szCs w:val="16"/>
                <w:bdr w:val="none" w:sz="0" w:space="0" w:color="auto"/>
                <w:lang w:eastAsia="en-GB"/>
              </w:rPr>
              <w:t>9  incluse</w:t>
            </w:r>
            <w:proofErr w:type="gramEnd"/>
            <w:r>
              <w:rPr>
                <w:rFonts w:eastAsia="Times New Roman" w:cs="Times New Roman"/>
                <w:b/>
                <w:bCs/>
                <w:color w:val="auto"/>
                <w:sz w:val="16"/>
                <w:szCs w:val="16"/>
                <w:bdr w:val="none" w:sz="0" w:space="0" w:color="auto"/>
                <w:lang w:eastAsia="en-GB"/>
              </w:rPr>
              <w:t xml:space="preserve"> le quote nazionali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10</w:t>
            </w:r>
          </w:p>
        </w:tc>
        <w:tc>
          <w:tcPr>
            <w:tcW w:w="199" w:type="pct"/>
            <w:gridSpan w:val="2"/>
            <w:tcBorders>
              <w:top w:val="single" w:sz="4" w:space="0" w:color="auto"/>
              <w:left w:val="single" w:sz="4" w:space="0" w:color="auto"/>
              <w:bottom w:val="single" w:sz="4" w:space="0" w:color="auto"/>
            </w:tcBorders>
            <w:shd w:val="clear" w:color="auto" w:fill="auto"/>
            <w:textDirection w:val="btLr"/>
            <w:vAlign w:val="center"/>
          </w:tcPr>
          <w:p w14:paraId="5C82FB9A" w14:textId="77777777" w:rsidR="00767928" w:rsidRPr="00310D3C" w:rsidRDefault="00767928"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m. Avanzamento %</w:t>
            </w:r>
            <w:r w:rsidRPr="006362D4">
              <w:rPr>
                <w:rFonts w:eastAsia="Times New Roman" w:cs="Times New Roman"/>
                <w:b/>
                <w:bCs/>
                <w:color w:val="auto"/>
                <w:sz w:val="16"/>
                <w:szCs w:val="16"/>
                <w:bdr w:val="none" w:sz="0" w:space="0" w:color="auto"/>
                <w:vertAlign w:val="superscript"/>
                <w:lang w:eastAsia="en-GB"/>
              </w:rPr>
              <w:t>11</w:t>
            </w:r>
          </w:p>
        </w:tc>
      </w:tr>
      <w:tr w:rsidR="00B326C9" w:rsidRPr="00922A9B" w14:paraId="36CA6C09" w14:textId="77777777" w:rsidTr="00C56F61">
        <w:trPr>
          <w:trHeight w:val="1619"/>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6955282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F1504F"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2014-EU-TM-0206</w:t>
            </w:r>
          </w:p>
          <w:p w14:paraId="7EA2A3C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717178"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val="en-US" w:eastAsia="en-GB"/>
              </w:rPr>
            </w:pPr>
            <w:r w:rsidRPr="00B70F83">
              <w:rPr>
                <w:rFonts w:eastAsia="Times New Roman" w:cs="Times New Roman"/>
                <w:color w:val="auto"/>
                <w:sz w:val="16"/>
                <w:szCs w:val="16"/>
                <w:bdr w:val="none" w:sz="0" w:space="0" w:color="auto"/>
                <w:lang w:val="en-US" w:eastAsia="en-GB"/>
              </w:rPr>
              <w:t>STM (System T</w:t>
            </w:r>
            <w:r>
              <w:rPr>
                <w:rFonts w:eastAsia="Times New Roman" w:cs="Times New Roman"/>
                <w:color w:val="auto"/>
                <w:sz w:val="16"/>
                <w:szCs w:val="16"/>
                <w:bdr w:val="none" w:sz="0" w:space="0" w:color="auto"/>
                <w:lang w:val="en-US" w:eastAsia="en-GB"/>
              </w:rPr>
              <w:t>raffic Manag</w:t>
            </w:r>
            <w:r w:rsidR="00AF3C37">
              <w:rPr>
                <w:rFonts w:eastAsia="Times New Roman" w:cs="Times New Roman"/>
                <w:color w:val="auto"/>
                <w:sz w:val="16"/>
                <w:szCs w:val="16"/>
                <w:bdr w:val="none" w:sz="0" w:space="0" w:color="auto"/>
                <w:lang w:val="en-US" w:eastAsia="en-GB"/>
              </w:rPr>
              <w:t>e</w:t>
            </w:r>
            <w:r>
              <w:rPr>
                <w:rFonts w:eastAsia="Times New Roman" w:cs="Times New Roman"/>
                <w:color w:val="auto"/>
                <w:sz w:val="16"/>
                <w:szCs w:val="16"/>
                <w:bdr w:val="none" w:sz="0" w:space="0" w:color="auto"/>
                <w:lang w:val="en-US" w:eastAsia="en-GB"/>
              </w:rPr>
              <w:t>ment) Validation Project -</w:t>
            </w:r>
            <w:r w:rsidRPr="00B70F83">
              <w:rPr>
                <w:rFonts w:eastAsia="Times New Roman" w:cs="Times New Roman"/>
                <w:color w:val="auto"/>
                <w:sz w:val="16"/>
                <w:szCs w:val="16"/>
                <w:bdr w:val="none" w:sz="0" w:space="0" w:color="auto"/>
                <w:lang w:val="en-US" w:eastAsia="en-GB"/>
              </w:rPr>
              <w:t xml:space="preserve"> </w:t>
            </w:r>
          </w:p>
          <w:p w14:paraId="5B1ADC4A"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Test a larga scala nel Mediterraneo e nel Nord Europa del </w:t>
            </w:r>
            <w:r w:rsidRPr="00310D3C">
              <w:rPr>
                <w:rFonts w:eastAsia="Times New Roman" w:cs="Times New Roman"/>
                <w:color w:val="auto"/>
                <w:sz w:val="16"/>
                <w:szCs w:val="16"/>
                <w:bdr w:val="none" w:sz="0" w:space="0" w:color="auto"/>
                <w:lang w:eastAsia="en-GB"/>
              </w:rPr>
              <w:lastRenderedPageBreak/>
              <w:t>sistema di gestione del traffico marittimo.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081D89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lastRenderedPageBreak/>
              <w:t>31/12/18</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F5DF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9.080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5AF2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 4.540 </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CD81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42.977 </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9B9D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21.489 </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AAF98" w14:textId="77777777" w:rsidR="00B326C9" w:rsidRPr="00922A9B" w:rsidRDefault="00C70593"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2.068</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F08D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45,6</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125FB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 </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1EFD4BD" w14:textId="77777777" w:rsidR="00B326C9" w:rsidRPr="00F44805"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F44805">
              <w:rPr>
                <w:rFonts w:eastAsia="Times New Roman" w:cs="Times New Roman"/>
                <w:color w:val="auto"/>
                <w:sz w:val="16"/>
                <w:szCs w:val="16"/>
                <w:bdr w:val="none" w:sz="0" w:space="0" w:color="auto"/>
                <w:lang w:val="en-GB" w:eastAsia="en-GB"/>
              </w:rPr>
              <w:t>7.940</w:t>
            </w:r>
          </w:p>
        </w:tc>
        <w:tc>
          <w:tcPr>
            <w:tcW w:w="199" w:type="pct"/>
            <w:gridSpan w:val="2"/>
            <w:tcBorders>
              <w:top w:val="single" w:sz="4" w:space="0" w:color="auto"/>
              <w:left w:val="single" w:sz="4" w:space="0" w:color="auto"/>
              <w:bottom w:val="single" w:sz="4" w:space="0" w:color="auto"/>
            </w:tcBorders>
            <w:shd w:val="clear" w:color="auto" w:fill="auto"/>
            <w:vAlign w:val="center"/>
            <w:hideMark/>
          </w:tcPr>
          <w:p w14:paraId="48C132E6" w14:textId="77777777" w:rsidR="00B326C9" w:rsidRPr="00F44805"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color w:val="auto"/>
                <w:sz w:val="16"/>
                <w:szCs w:val="16"/>
              </w:rPr>
              <w:t>87</w:t>
            </w:r>
          </w:p>
        </w:tc>
      </w:tr>
      <w:tr w:rsidR="00B326C9" w:rsidRPr="00922A9B" w14:paraId="7427EDCE" w14:textId="77777777" w:rsidTr="00C56F61">
        <w:trPr>
          <w:trHeight w:val="1813"/>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0E9F5DE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E13497"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2014-EU-TM-0343</w:t>
            </w:r>
          </w:p>
          <w:p w14:paraId="64AB530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9C3883"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NAPA4CORE-Miglioramento collegamenti marittimi, accessibilità e connessioni con l’l'hinterland dei porti del Nord Adriatico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330C9B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6457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79.357</w:t>
            </w:r>
            <w:r w:rsidRPr="00922A9B">
              <w:rPr>
                <w:rFonts w:eastAsia="Times New Roman" w:cs="Times New Roman"/>
                <w:color w:val="auto"/>
                <w:sz w:val="16"/>
                <w:szCs w:val="16"/>
                <w:bdr w:val="none" w:sz="0" w:space="0" w:color="auto"/>
                <w:lang w:val="en-GB" w:eastAsia="en-GB"/>
              </w:rPr>
              <w:t xml:space="preserve">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2FE7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15.871</w:t>
            </w:r>
            <w:r w:rsidRPr="00922A9B">
              <w:rPr>
                <w:rFonts w:eastAsia="Times New Roman" w:cs="Times New Roman"/>
                <w:color w:val="auto"/>
                <w:sz w:val="16"/>
                <w:szCs w:val="16"/>
                <w:bdr w:val="none" w:sz="0" w:space="0" w:color="auto"/>
                <w:lang w:val="en-GB" w:eastAsia="en-GB"/>
              </w:rPr>
              <w:t xml:space="preserve"> </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8926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109.800 </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4CF8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21.960 </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A8001"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12.844</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D79E8"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80,9</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3AA76C"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1</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35DB09"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66.097</w:t>
            </w:r>
          </w:p>
        </w:tc>
        <w:tc>
          <w:tcPr>
            <w:tcW w:w="199" w:type="pct"/>
            <w:gridSpan w:val="2"/>
            <w:tcBorders>
              <w:top w:val="single" w:sz="4" w:space="0" w:color="auto"/>
              <w:left w:val="single" w:sz="4" w:space="0" w:color="auto"/>
              <w:bottom w:val="single" w:sz="4" w:space="0" w:color="auto"/>
            </w:tcBorders>
            <w:shd w:val="clear" w:color="auto" w:fill="auto"/>
            <w:vAlign w:val="center"/>
          </w:tcPr>
          <w:p w14:paraId="3B20CB66" w14:textId="77777777" w:rsidR="00B326C9" w:rsidRPr="00922A9B" w:rsidRDefault="00E03ADD" w:rsidP="00002E17">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76</w:t>
            </w:r>
          </w:p>
        </w:tc>
      </w:tr>
      <w:tr w:rsidR="00B326C9" w:rsidRPr="00922A9B" w14:paraId="0BD36B09" w14:textId="77777777" w:rsidTr="00C56F61">
        <w:trPr>
          <w:trHeight w:val="2364"/>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3ADAEB4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7B81BF5D" w14:textId="77777777" w:rsidR="0000635D"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112" w:right="-179"/>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2014-EU-TM-0531</w:t>
            </w:r>
          </w:p>
          <w:p w14:paraId="3B973D2F" w14:textId="77777777" w:rsidR="00B326C9" w:rsidRPr="00922A9B"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112" w:right="-179"/>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34130B38"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FRESH FOOD CORRIDOR </w:t>
            </w:r>
            <w:r>
              <w:rPr>
                <w:rFonts w:eastAsia="Times New Roman" w:cs="Times New Roman"/>
                <w:color w:val="auto"/>
                <w:sz w:val="16"/>
                <w:szCs w:val="16"/>
                <w:bdr w:val="none" w:sz="0" w:space="0" w:color="auto"/>
                <w:lang w:eastAsia="en-GB"/>
              </w:rPr>
              <w:t>–</w:t>
            </w:r>
            <w:proofErr w:type="spellStart"/>
            <w:r w:rsidRPr="00310D3C">
              <w:rPr>
                <w:rFonts w:eastAsia="Times New Roman" w:cs="Times New Roman"/>
                <w:color w:val="auto"/>
                <w:sz w:val="16"/>
                <w:szCs w:val="16"/>
                <w:bdr w:val="none" w:sz="0" w:space="0" w:color="auto"/>
                <w:lang w:eastAsia="en-GB"/>
              </w:rPr>
              <w:t>Implementazio</w:t>
            </w:r>
            <w:proofErr w:type="spellEnd"/>
            <w:r>
              <w:rPr>
                <w:rFonts w:eastAsia="Times New Roman" w:cs="Times New Roman"/>
                <w:color w:val="auto"/>
                <w:sz w:val="16"/>
                <w:szCs w:val="16"/>
                <w:bdr w:val="none" w:sz="0" w:space="0" w:color="auto"/>
                <w:lang w:eastAsia="en-GB"/>
              </w:rPr>
              <w:t>-</w:t>
            </w:r>
            <w:proofErr w:type="spellStart"/>
            <w:r w:rsidRPr="00310D3C">
              <w:rPr>
                <w:rFonts w:eastAsia="Times New Roman" w:cs="Times New Roman"/>
                <w:color w:val="auto"/>
                <w:sz w:val="16"/>
                <w:szCs w:val="16"/>
                <w:bdr w:val="none" w:sz="0" w:space="0" w:color="auto"/>
                <w:lang w:eastAsia="en-GB"/>
              </w:rPr>
              <w:t>ne</w:t>
            </w:r>
            <w:proofErr w:type="spellEnd"/>
            <w:r w:rsidRPr="00310D3C">
              <w:rPr>
                <w:rFonts w:eastAsia="Times New Roman" w:cs="Times New Roman"/>
                <w:color w:val="auto"/>
                <w:sz w:val="16"/>
                <w:szCs w:val="16"/>
                <w:bdr w:val="none" w:sz="0" w:space="0" w:color="auto"/>
                <w:lang w:eastAsia="en-GB"/>
              </w:rPr>
              <w:t xml:space="preserve"> di un servizio per rendere efficiente, sostenibile e sicuro il tra</w:t>
            </w:r>
            <w:r w:rsidR="0000635D">
              <w:rPr>
                <w:rFonts w:eastAsia="Times New Roman" w:cs="Times New Roman"/>
                <w:color w:val="auto"/>
                <w:sz w:val="16"/>
                <w:szCs w:val="16"/>
                <w:bdr w:val="none" w:sz="0" w:space="0" w:color="auto"/>
                <w:lang w:eastAsia="en-GB"/>
              </w:rPr>
              <w:t>-</w:t>
            </w:r>
            <w:r w:rsidRPr="00310D3C">
              <w:rPr>
                <w:rFonts w:eastAsia="Times New Roman" w:cs="Times New Roman"/>
                <w:color w:val="auto"/>
                <w:sz w:val="16"/>
                <w:szCs w:val="16"/>
                <w:bdr w:val="none" w:sz="0" w:space="0" w:color="auto"/>
                <w:lang w:eastAsia="en-GB"/>
              </w:rPr>
              <w:t>sporto di prodotti agro</w:t>
            </w:r>
            <w:r w:rsidR="0000635D">
              <w:rPr>
                <w:rFonts w:eastAsia="Times New Roman" w:cs="Times New Roman"/>
                <w:color w:val="auto"/>
                <w:sz w:val="16"/>
                <w:szCs w:val="16"/>
                <w:bdr w:val="none" w:sz="0" w:space="0" w:color="auto"/>
                <w:lang w:eastAsia="en-GB"/>
              </w:rPr>
              <w:t>-</w:t>
            </w:r>
            <w:proofErr w:type="gramStart"/>
            <w:r w:rsidRPr="00310D3C">
              <w:rPr>
                <w:rFonts w:eastAsia="Times New Roman" w:cs="Times New Roman"/>
                <w:color w:val="auto"/>
                <w:sz w:val="16"/>
                <w:szCs w:val="16"/>
                <w:bdr w:val="none" w:sz="0" w:space="0" w:color="auto"/>
                <w:lang w:eastAsia="en-GB"/>
              </w:rPr>
              <w:t>alimentari  freschi</w:t>
            </w:r>
            <w:proofErr w:type="gramEnd"/>
            <w:r w:rsidRPr="00310D3C">
              <w:rPr>
                <w:rFonts w:eastAsia="Times New Roman" w:cs="Times New Roman"/>
                <w:color w:val="auto"/>
                <w:sz w:val="16"/>
                <w:szCs w:val="16"/>
                <w:bdr w:val="none" w:sz="0" w:space="0" w:color="auto"/>
                <w:lang w:eastAsia="en-GB"/>
              </w:rPr>
              <w:t xml:space="preserve"> tra Israele e </w:t>
            </w:r>
            <w:r>
              <w:rPr>
                <w:rFonts w:eastAsia="Times New Roman" w:cs="Times New Roman"/>
                <w:color w:val="auto"/>
                <w:sz w:val="16"/>
                <w:szCs w:val="16"/>
                <w:bdr w:val="none" w:sz="0" w:space="0" w:color="auto"/>
                <w:lang w:eastAsia="en-GB"/>
              </w:rPr>
              <w:t>l’</w:t>
            </w:r>
            <w:r w:rsidRPr="009C7C11">
              <w:rPr>
                <w:rFonts w:eastAsia="Times New Roman" w:cs="Times New Roman"/>
                <w:color w:val="auto"/>
                <w:sz w:val="16"/>
                <w:szCs w:val="16"/>
                <w:bdr w:val="none" w:sz="0" w:space="0" w:color="auto"/>
                <w:lang w:eastAsia="en-GB"/>
              </w:rPr>
              <w:t>EU</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59A2205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31/07/18</w:t>
            </w:r>
          </w:p>
        </w:tc>
        <w:tc>
          <w:tcPr>
            <w:tcW w:w="392" w:type="pct"/>
            <w:gridSpan w:val="2"/>
            <w:tcBorders>
              <w:top w:val="single" w:sz="4" w:space="0" w:color="auto"/>
              <w:left w:val="nil"/>
              <w:bottom w:val="single" w:sz="4" w:space="0" w:color="auto"/>
              <w:right w:val="single" w:sz="4" w:space="0" w:color="auto"/>
            </w:tcBorders>
            <w:shd w:val="clear" w:color="auto" w:fill="auto"/>
            <w:noWrap/>
            <w:vAlign w:val="center"/>
            <w:hideMark/>
          </w:tcPr>
          <w:p w14:paraId="3BBF578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1.519 </w:t>
            </w:r>
          </w:p>
        </w:tc>
        <w:tc>
          <w:tcPr>
            <w:tcW w:w="522" w:type="pct"/>
            <w:gridSpan w:val="4"/>
            <w:tcBorders>
              <w:top w:val="single" w:sz="4" w:space="0" w:color="auto"/>
              <w:left w:val="nil"/>
              <w:bottom w:val="single" w:sz="4" w:space="0" w:color="auto"/>
              <w:right w:val="single" w:sz="4" w:space="0" w:color="auto"/>
            </w:tcBorders>
            <w:shd w:val="clear" w:color="auto" w:fill="auto"/>
            <w:noWrap/>
            <w:vAlign w:val="center"/>
            <w:hideMark/>
          </w:tcPr>
          <w:p w14:paraId="368E09D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760 </w:t>
            </w:r>
          </w:p>
        </w:tc>
        <w:tc>
          <w:tcPr>
            <w:tcW w:w="487" w:type="pct"/>
            <w:gridSpan w:val="4"/>
            <w:tcBorders>
              <w:top w:val="single" w:sz="4" w:space="0" w:color="auto"/>
              <w:left w:val="nil"/>
              <w:bottom w:val="single" w:sz="4" w:space="0" w:color="auto"/>
              <w:right w:val="single" w:sz="4" w:space="0" w:color="auto"/>
            </w:tcBorders>
            <w:shd w:val="clear" w:color="auto" w:fill="auto"/>
            <w:noWrap/>
            <w:vAlign w:val="center"/>
            <w:hideMark/>
          </w:tcPr>
          <w:p w14:paraId="021D877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20.112 </w:t>
            </w:r>
          </w:p>
        </w:tc>
        <w:tc>
          <w:tcPr>
            <w:tcW w:w="462" w:type="pct"/>
            <w:gridSpan w:val="4"/>
            <w:tcBorders>
              <w:top w:val="single" w:sz="4" w:space="0" w:color="auto"/>
              <w:left w:val="nil"/>
              <w:bottom w:val="single" w:sz="4" w:space="0" w:color="auto"/>
              <w:right w:val="single" w:sz="4" w:space="0" w:color="auto"/>
            </w:tcBorders>
            <w:shd w:val="clear" w:color="auto" w:fill="auto"/>
            <w:noWrap/>
            <w:vAlign w:val="center"/>
            <w:hideMark/>
          </w:tcPr>
          <w:p w14:paraId="41E2460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10.056 </w:t>
            </w:r>
          </w:p>
        </w:tc>
        <w:tc>
          <w:tcPr>
            <w:tcW w:w="436" w:type="pct"/>
            <w:gridSpan w:val="4"/>
            <w:tcBorders>
              <w:top w:val="single" w:sz="4" w:space="0" w:color="auto"/>
              <w:left w:val="nil"/>
              <w:bottom w:val="single" w:sz="4" w:space="0" w:color="auto"/>
              <w:right w:val="single" w:sz="4" w:space="0" w:color="auto"/>
            </w:tcBorders>
            <w:shd w:val="clear" w:color="auto" w:fill="auto"/>
            <w:noWrap/>
            <w:vAlign w:val="center"/>
            <w:hideMark/>
          </w:tcPr>
          <w:p w14:paraId="20A47E8B" w14:textId="77777777" w:rsidR="00B326C9" w:rsidRPr="00922A9B" w:rsidRDefault="006A7022"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w:t>
            </w:r>
            <w:r w:rsidR="00847554">
              <w:rPr>
                <w:rFonts w:eastAsia="Times New Roman" w:cs="Times New Roman"/>
                <w:color w:val="auto"/>
                <w:sz w:val="16"/>
                <w:szCs w:val="16"/>
                <w:bdr w:val="none" w:sz="0" w:space="0" w:color="auto"/>
                <w:lang w:val="en-GB" w:eastAsia="en-GB"/>
              </w:rPr>
              <w:t>6</w:t>
            </w:r>
            <w:r w:rsidR="00732F02">
              <w:rPr>
                <w:rFonts w:eastAsia="Times New Roman" w:cs="Times New Roman"/>
                <w:color w:val="auto"/>
                <w:sz w:val="16"/>
                <w:szCs w:val="16"/>
                <w:bdr w:val="none" w:sz="0" w:space="0" w:color="auto"/>
                <w:lang w:val="en-GB" w:eastAsia="en-GB"/>
              </w:rPr>
              <w:t>4</w:t>
            </w:r>
          </w:p>
        </w:tc>
        <w:tc>
          <w:tcPr>
            <w:tcW w:w="354" w:type="pct"/>
            <w:gridSpan w:val="4"/>
            <w:tcBorders>
              <w:top w:val="single" w:sz="4" w:space="0" w:color="auto"/>
              <w:left w:val="nil"/>
              <w:bottom w:val="single" w:sz="4" w:space="0" w:color="auto"/>
              <w:right w:val="single" w:sz="4" w:space="0" w:color="auto"/>
            </w:tcBorders>
            <w:shd w:val="clear" w:color="auto" w:fill="auto"/>
            <w:noWrap/>
            <w:vAlign w:val="center"/>
            <w:hideMark/>
          </w:tcPr>
          <w:p w14:paraId="61974D5F" w14:textId="77777777" w:rsidR="00B326C9" w:rsidRPr="00922A9B" w:rsidRDefault="006A7022"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72,4</w:t>
            </w:r>
          </w:p>
        </w:tc>
        <w:tc>
          <w:tcPr>
            <w:tcW w:w="273" w:type="pct"/>
            <w:gridSpan w:val="3"/>
            <w:tcBorders>
              <w:top w:val="single" w:sz="4" w:space="0" w:color="auto"/>
              <w:left w:val="nil"/>
              <w:bottom w:val="single" w:sz="4" w:space="0" w:color="auto"/>
              <w:right w:val="single" w:sz="4" w:space="0" w:color="auto"/>
            </w:tcBorders>
            <w:shd w:val="clear" w:color="auto" w:fill="auto"/>
            <w:vAlign w:val="center"/>
            <w:hideMark/>
          </w:tcPr>
          <w:p w14:paraId="04801C2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16"/>
                <w:szCs w:val="16"/>
                <w:bdr w:val="none" w:sz="0" w:space="0" w:color="auto"/>
                <w:lang w:val="en-GB" w:eastAsia="en-GB"/>
              </w:rPr>
            </w:pPr>
            <w:r>
              <w:rPr>
                <w:sz w:val="16"/>
                <w:szCs w:val="16"/>
              </w:rPr>
              <w:t>-283</w:t>
            </w:r>
          </w:p>
        </w:tc>
        <w:tc>
          <w:tcPr>
            <w:tcW w:w="467" w:type="pct"/>
            <w:gridSpan w:val="3"/>
            <w:tcBorders>
              <w:top w:val="single" w:sz="4" w:space="0" w:color="auto"/>
              <w:left w:val="nil"/>
              <w:bottom w:val="single" w:sz="4" w:space="0" w:color="auto"/>
              <w:right w:val="single" w:sz="4" w:space="0" w:color="auto"/>
            </w:tcBorders>
            <w:shd w:val="clear" w:color="auto" w:fill="auto"/>
            <w:vAlign w:val="center"/>
            <w:hideMark/>
          </w:tcPr>
          <w:p w14:paraId="41C54B4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12217E">
              <w:rPr>
                <w:rFonts w:eastAsia="Times New Roman" w:cs="Times New Roman"/>
                <w:color w:val="auto"/>
                <w:sz w:val="16"/>
                <w:szCs w:val="16"/>
                <w:bdr w:val="none" w:sz="0" w:space="0" w:color="auto"/>
                <w:lang w:val="en-GB" w:eastAsia="en-GB"/>
              </w:rPr>
              <w:t xml:space="preserve">1.417 </w:t>
            </w:r>
          </w:p>
        </w:tc>
        <w:tc>
          <w:tcPr>
            <w:tcW w:w="199" w:type="pct"/>
            <w:gridSpan w:val="2"/>
            <w:tcBorders>
              <w:top w:val="single" w:sz="4" w:space="0" w:color="auto"/>
              <w:left w:val="nil"/>
              <w:bottom w:val="single" w:sz="4" w:space="0" w:color="auto"/>
            </w:tcBorders>
            <w:shd w:val="clear" w:color="auto" w:fill="auto"/>
            <w:vAlign w:val="center"/>
            <w:hideMark/>
          </w:tcPr>
          <w:p w14:paraId="48E4C7D7"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70</w:t>
            </w:r>
          </w:p>
        </w:tc>
      </w:tr>
      <w:tr w:rsidR="00B326C9" w:rsidRPr="00922A9B" w14:paraId="2FEA0C81" w14:textId="77777777" w:rsidTr="00C56F61">
        <w:trPr>
          <w:trHeight w:val="1957"/>
        </w:trPr>
        <w:tc>
          <w:tcPr>
            <w:tcW w:w="230" w:type="pct"/>
            <w:tcBorders>
              <w:top w:val="nil"/>
              <w:left w:val="nil"/>
              <w:bottom w:val="single" w:sz="4" w:space="0" w:color="auto"/>
              <w:right w:val="single" w:sz="4" w:space="0" w:color="auto"/>
            </w:tcBorders>
            <w:shd w:val="clear" w:color="auto" w:fill="auto"/>
            <w:noWrap/>
            <w:vAlign w:val="center"/>
            <w:hideMark/>
          </w:tcPr>
          <w:p w14:paraId="48BDE94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4</w:t>
            </w:r>
          </w:p>
        </w:tc>
        <w:tc>
          <w:tcPr>
            <w:tcW w:w="371" w:type="pct"/>
            <w:gridSpan w:val="2"/>
            <w:tcBorders>
              <w:top w:val="nil"/>
              <w:left w:val="nil"/>
              <w:bottom w:val="single" w:sz="4" w:space="0" w:color="auto"/>
              <w:right w:val="single" w:sz="4" w:space="0" w:color="auto"/>
            </w:tcBorders>
            <w:shd w:val="clear" w:color="auto" w:fill="auto"/>
            <w:vAlign w:val="center"/>
            <w:hideMark/>
          </w:tcPr>
          <w:p w14:paraId="38AAF454"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2014-EU-TM-0544</w:t>
            </w:r>
          </w:p>
          <w:p w14:paraId="116C027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nil"/>
              <w:left w:val="nil"/>
              <w:bottom w:val="single" w:sz="4" w:space="0" w:color="auto"/>
              <w:right w:val="single" w:sz="4" w:space="0" w:color="auto"/>
            </w:tcBorders>
            <w:shd w:val="clear" w:color="auto" w:fill="auto"/>
            <w:vAlign w:val="center"/>
            <w:hideMark/>
          </w:tcPr>
          <w:p w14:paraId="77A6B7A3"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MED-ATLANTIC ECOBONUS- Schema di incentivi a supporto del trasporto intermodale </w:t>
            </w:r>
            <w:proofErr w:type="gramStart"/>
            <w:r w:rsidRPr="00310D3C">
              <w:rPr>
                <w:rFonts w:eastAsia="Times New Roman" w:cs="Times New Roman"/>
                <w:color w:val="auto"/>
                <w:sz w:val="16"/>
                <w:szCs w:val="16"/>
                <w:bdr w:val="none" w:sz="0" w:space="0" w:color="auto"/>
                <w:lang w:eastAsia="en-GB"/>
              </w:rPr>
              <w:t>sulle  Autostrade</w:t>
            </w:r>
            <w:proofErr w:type="gramEnd"/>
            <w:r w:rsidRPr="00310D3C">
              <w:rPr>
                <w:rFonts w:eastAsia="Times New Roman" w:cs="Times New Roman"/>
                <w:color w:val="auto"/>
                <w:sz w:val="16"/>
                <w:szCs w:val="16"/>
                <w:bdr w:val="none" w:sz="0" w:space="0" w:color="auto"/>
                <w:lang w:eastAsia="en-GB"/>
              </w:rPr>
              <w:t xml:space="preserve"> del Mare.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51DFDB7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31/12/18</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13F2D91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360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667E388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180 </w:t>
            </w:r>
          </w:p>
        </w:tc>
        <w:tc>
          <w:tcPr>
            <w:tcW w:w="487" w:type="pct"/>
            <w:gridSpan w:val="4"/>
            <w:tcBorders>
              <w:top w:val="nil"/>
              <w:left w:val="nil"/>
              <w:bottom w:val="single" w:sz="4" w:space="0" w:color="auto"/>
              <w:right w:val="single" w:sz="4" w:space="0" w:color="auto"/>
            </w:tcBorders>
            <w:shd w:val="clear" w:color="auto" w:fill="auto"/>
            <w:noWrap/>
            <w:vAlign w:val="center"/>
            <w:hideMark/>
          </w:tcPr>
          <w:p w14:paraId="134BFE6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1.544 </w:t>
            </w:r>
          </w:p>
        </w:tc>
        <w:tc>
          <w:tcPr>
            <w:tcW w:w="462" w:type="pct"/>
            <w:gridSpan w:val="4"/>
            <w:tcBorders>
              <w:top w:val="nil"/>
              <w:left w:val="nil"/>
              <w:bottom w:val="single" w:sz="4" w:space="0" w:color="auto"/>
              <w:right w:val="single" w:sz="4" w:space="0" w:color="auto"/>
            </w:tcBorders>
            <w:shd w:val="clear" w:color="auto" w:fill="auto"/>
            <w:noWrap/>
            <w:vAlign w:val="center"/>
            <w:hideMark/>
          </w:tcPr>
          <w:p w14:paraId="656B309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772 </w:t>
            </w:r>
          </w:p>
        </w:tc>
        <w:tc>
          <w:tcPr>
            <w:tcW w:w="436" w:type="pct"/>
            <w:gridSpan w:val="4"/>
            <w:tcBorders>
              <w:top w:val="nil"/>
              <w:left w:val="nil"/>
              <w:bottom w:val="single" w:sz="4" w:space="0" w:color="auto"/>
              <w:right w:val="single" w:sz="4" w:space="0" w:color="auto"/>
            </w:tcBorders>
            <w:shd w:val="clear" w:color="auto" w:fill="auto"/>
            <w:noWrap/>
            <w:vAlign w:val="center"/>
            <w:hideMark/>
          </w:tcPr>
          <w:p w14:paraId="5C352BFC"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26D1B">
              <w:rPr>
                <w:rFonts w:eastAsia="Times New Roman" w:cs="Times New Roman"/>
                <w:color w:val="auto"/>
                <w:sz w:val="16"/>
                <w:szCs w:val="16"/>
                <w:bdr w:val="none" w:sz="0" w:space="0" w:color="auto"/>
                <w:lang w:val="en-GB" w:eastAsia="en-GB"/>
              </w:rPr>
              <w:t xml:space="preserve"> 84 </w:t>
            </w:r>
          </w:p>
        </w:tc>
        <w:tc>
          <w:tcPr>
            <w:tcW w:w="354" w:type="pct"/>
            <w:gridSpan w:val="4"/>
            <w:tcBorders>
              <w:top w:val="nil"/>
              <w:left w:val="nil"/>
              <w:bottom w:val="single" w:sz="4" w:space="0" w:color="auto"/>
              <w:right w:val="single" w:sz="4" w:space="0" w:color="auto"/>
            </w:tcBorders>
            <w:shd w:val="clear" w:color="auto" w:fill="auto"/>
            <w:noWrap/>
            <w:vAlign w:val="center"/>
            <w:hideMark/>
          </w:tcPr>
          <w:p w14:paraId="7EE555C8"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sidRPr="00026D1B">
              <w:rPr>
                <w:color w:val="auto"/>
                <w:sz w:val="16"/>
                <w:szCs w:val="16"/>
              </w:rPr>
              <w:t>46,6</w:t>
            </w:r>
          </w:p>
        </w:tc>
        <w:tc>
          <w:tcPr>
            <w:tcW w:w="273" w:type="pct"/>
            <w:gridSpan w:val="3"/>
            <w:tcBorders>
              <w:top w:val="nil"/>
              <w:left w:val="nil"/>
              <w:bottom w:val="single" w:sz="4" w:space="0" w:color="auto"/>
              <w:right w:val="single" w:sz="4" w:space="0" w:color="auto"/>
            </w:tcBorders>
            <w:shd w:val="clear" w:color="auto" w:fill="auto"/>
            <w:vAlign w:val="center"/>
          </w:tcPr>
          <w:p w14:paraId="3F18E7CC"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26D1B">
              <w:rPr>
                <w:color w:val="auto"/>
                <w:sz w:val="16"/>
                <w:szCs w:val="16"/>
              </w:rPr>
              <w:t xml:space="preserve">      -   </w:t>
            </w:r>
          </w:p>
        </w:tc>
        <w:tc>
          <w:tcPr>
            <w:tcW w:w="467" w:type="pct"/>
            <w:gridSpan w:val="3"/>
            <w:tcBorders>
              <w:top w:val="nil"/>
              <w:left w:val="nil"/>
              <w:bottom w:val="single" w:sz="4" w:space="0" w:color="auto"/>
              <w:right w:val="single" w:sz="4" w:space="0" w:color="auto"/>
            </w:tcBorders>
            <w:shd w:val="clear" w:color="auto" w:fill="auto"/>
            <w:vAlign w:val="center"/>
            <w:hideMark/>
          </w:tcPr>
          <w:p w14:paraId="3981469D"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26D1B">
              <w:rPr>
                <w:rFonts w:eastAsia="Times New Roman" w:cs="Times New Roman"/>
                <w:color w:val="auto"/>
                <w:sz w:val="16"/>
                <w:szCs w:val="16"/>
                <w:bdr w:val="none" w:sz="0" w:space="0" w:color="auto"/>
                <w:lang w:val="en-GB" w:eastAsia="en-GB"/>
              </w:rPr>
              <w:t xml:space="preserve">360 </w:t>
            </w:r>
          </w:p>
        </w:tc>
        <w:tc>
          <w:tcPr>
            <w:tcW w:w="199" w:type="pct"/>
            <w:gridSpan w:val="2"/>
            <w:tcBorders>
              <w:top w:val="nil"/>
              <w:left w:val="nil"/>
              <w:bottom w:val="single" w:sz="4" w:space="0" w:color="auto"/>
            </w:tcBorders>
            <w:shd w:val="clear" w:color="auto" w:fill="auto"/>
            <w:vAlign w:val="center"/>
            <w:hideMark/>
          </w:tcPr>
          <w:p w14:paraId="2F7ED625" w14:textId="77777777" w:rsidR="00B326C9" w:rsidRPr="00026D1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color w:val="auto"/>
                <w:sz w:val="16"/>
                <w:szCs w:val="16"/>
              </w:rPr>
              <w:t>100</w:t>
            </w:r>
          </w:p>
        </w:tc>
      </w:tr>
      <w:tr w:rsidR="00B326C9" w:rsidRPr="00922A9B" w14:paraId="42060573" w14:textId="77777777" w:rsidTr="00C56F61">
        <w:trPr>
          <w:trHeight w:val="1501"/>
        </w:trPr>
        <w:tc>
          <w:tcPr>
            <w:tcW w:w="230" w:type="pct"/>
            <w:tcBorders>
              <w:top w:val="nil"/>
              <w:left w:val="nil"/>
              <w:bottom w:val="single" w:sz="4" w:space="0" w:color="auto"/>
              <w:right w:val="single" w:sz="4" w:space="0" w:color="auto"/>
            </w:tcBorders>
            <w:shd w:val="clear" w:color="auto" w:fill="auto"/>
            <w:noWrap/>
            <w:vAlign w:val="center"/>
            <w:hideMark/>
          </w:tcPr>
          <w:p w14:paraId="40EE7A2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5</w:t>
            </w:r>
          </w:p>
        </w:tc>
        <w:tc>
          <w:tcPr>
            <w:tcW w:w="371" w:type="pct"/>
            <w:gridSpan w:val="2"/>
            <w:tcBorders>
              <w:top w:val="nil"/>
              <w:left w:val="nil"/>
              <w:bottom w:val="single" w:sz="4" w:space="0" w:color="auto"/>
              <w:right w:val="single" w:sz="4" w:space="0" w:color="auto"/>
            </w:tcBorders>
            <w:shd w:val="clear" w:color="auto" w:fill="auto"/>
            <w:vAlign w:val="center"/>
            <w:hideMark/>
          </w:tcPr>
          <w:p w14:paraId="17D0A9A5"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2014-EU-TM-0673</w:t>
            </w:r>
          </w:p>
          <w:p w14:paraId="3B08EE5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nil"/>
              <w:left w:val="nil"/>
              <w:bottom w:val="single" w:sz="4" w:space="0" w:color="auto"/>
              <w:right w:val="single" w:sz="4" w:space="0" w:color="auto"/>
            </w:tcBorders>
            <w:shd w:val="clear" w:color="auto" w:fill="auto"/>
            <w:vAlign w:val="center"/>
            <w:hideMark/>
          </w:tcPr>
          <w:p w14:paraId="60AD544D" w14:textId="77777777" w:rsidR="00B326C9" w:rsidRPr="00B70F83" w:rsidRDefault="00B326C9"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POSEIDON MED II- Sviluppo di soluzioni sostenibili per </w:t>
            </w:r>
            <w:r w:rsidR="002D4FDD">
              <w:rPr>
                <w:rFonts w:eastAsia="Times New Roman" w:cs="Times New Roman"/>
                <w:color w:val="auto"/>
                <w:sz w:val="16"/>
                <w:szCs w:val="16"/>
                <w:bdr w:val="none" w:sz="0" w:space="0" w:color="auto"/>
                <w:lang w:eastAsia="en-GB"/>
              </w:rPr>
              <w:t>GNL</w:t>
            </w:r>
            <w:r w:rsidRPr="00310D3C">
              <w:rPr>
                <w:rFonts w:eastAsia="Times New Roman" w:cs="Times New Roman"/>
                <w:color w:val="auto"/>
                <w:sz w:val="16"/>
                <w:szCs w:val="16"/>
                <w:bdr w:val="none" w:sz="0" w:space="0" w:color="auto"/>
                <w:lang w:eastAsia="en-GB"/>
              </w:rPr>
              <w:t xml:space="preserve"> (terminal, navi e Sistema prezzi)</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74880B1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221ECB5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19.610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126AF1C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9.805 </w:t>
            </w:r>
          </w:p>
        </w:tc>
        <w:tc>
          <w:tcPr>
            <w:tcW w:w="487" w:type="pct"/>
            <w:gridSpan w:val="4"/>
            <w:tcBorders>
              <w:top w:val="nil"/>
              <w:left w:val="nil"/>
              <w:bottom w:val="single" w:sz="4" w:space="0" w:color="auto"/>
              <w:right w:val="single" w:sz="4" w:space="0" w:color="auto"/>
            </w:tcBorders>
            <w:shd w:val="clear" w:color="auto" w:fill="auto"/>
            <w:noWrap/>
            <w:vAlign w:val="center"/>
            <w:hideMark/>
          </w:tcPr>
          <w:p w14:paraId="2BC9B20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53.279 </w:t>
            </w:r>
          </w:p>
        </w:tc>
        <w:tc>
          <w:tcPr>
            <w:tcW w:w="462" w:type="pct"/>
            <w:gridSpan w:val="4"/>
            <w:tcBorders>
              <w:top w:val="nil"/>
              <w:left w:val="nil"/>
              <w:bottom w:val="single" w:sz="4" w:space="0" w:color="auto"/>
              <w:right w:val="single" w:sz="4" w:space="0" w:color="auto"/>
            </w:tcBorders>
            <w:shd w:val="clear" w:color="auto" w:fill="auto"/>
            <w:noWrap/>
            <w:vAlign w:val="center"/>
            <w:hideMark/>
          </w:tcPr>
          <w:p w14:paraId="73BFE83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26.640 </w:t>
            </w:r>
          </w:p>
        </w:tc>
        <w:tc>
          <w:tcPr>
            <w:tcW w:w="436" w:type="pct"/>
            <w:gridSpan w:val="4"/>
            <w:tcBorders>
              <w:top w:val="nil"/>
              <w:left w:val="nil"/>
              <w:bottom w:val="single" w:sz="4" w:space="0" w:color="auto"/>
              <w:right w:val="single" w:sz="4" w:space="0" w:color="auto"/>
            </w:tcBorders>
            <w:shd w:val="clear" w:color="auto" w:fill="auto"/>
            <w:noWrap/>
            <w:vAlign w:val="center"/>
            <w:hideMark/>
          </w:tcPr>
          <w:p w14:paraId="243BB9B5" w14:textId="77777777" w:rsidR="00B326C9" w:rsidRPr="00026D1B" w:rsidRDefault="00732F02"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32F02">
              <w:rPr>
                <w:rFonts w:eastAsia="Times New Roman" w:cs="Times New Roman"/>
                <w:color w:val="auto"/>
                <w:sz w:val="16"/>
                <w:szCs w:val="16"/>
                <w:bdr w:val="none" w:sz="0" w:space="0" w:color="auto"/>
                <w:lang w:val="en-GB" w:eastAsia="en-GB"/>
              </w:rPr>
              <w:t>59</w:t>
            </w:r>
          </w:p>
        </w:tc>
        <w:tc>
          <w:tcPr>
            <w:tcW w:w="354" w:type="pct"/>
            <w:gridSpan w:val="4"/>
            <w:tcBorders>
              <w:top w:val="nil"/>
              <w:left w:val="nil"/>
              <w:bottom w:val="single" w:sz="4" w:space="0" w:color="auto"/>
              <w:right w:val="single" w:sz="4" w:space="0" w:color="auto"/>
            </w:tcBorders>
            <w:shd w:val="clear" w:color="auto" w:fill="auto"/>
            <w:noWrap/>
            <w:vAlign w:val="center"/>
            <w:hideMark/>
          </w:tcPr>
          <w:p w14:paraId="22500BD4" w14:textId="77777777" w:rsidR="00B326C9" w:rsidRPr="00026D1B" w:rsidRDefault="003B36EC"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color w:val="auto"/>
                <w:sz w:val="16"/>
                <w:szCs w:val="16"/>
              </w:rPr>
              <w:t>3,9</w:t>
            </w:r>
          </w:p>
        </w:tc>
        <w:tc>
          <w:tcPr>
            <w:tcW w:w="273" w:type="pct"/>
            <w:gridSpan w:val="3"/>
            <w:tcBorders>
              <w:top w:val="nil"/>
              <w:left w:val="nil"/>
              <w:bottom w:val="single" w:sz="4" w:space="0" w:color="auto"/>
              <w:right w:val="single" w:sz="4" w:space="0" w:color="auto"/>
            </w:tcBorders>
            <w:shd w:val="clear" w:color="auto" w:fill="auto"/>
            <w:vAlign w:val="center"/>
          </w:tcPr>
          <w:p w14:paraId="73E28AE5"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26D1B">
              <w:rPr>
                <w:color w:val="auto"/>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hideMark/>
          </w:tcPr>
          <w:p w14:paraId="54F76CF3"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026D1B">
              <w:rPr>
                <w:rFonts w:eastAsia="Times New Roman" w:cs="Times New Roman"/>
                <w:color w:val="auto"/>
                <w:sz w:val="16"/>
                <w:szCs w:val="16"/>
                <w:bdr w:val="none" w:sz="0" w:space="0" w:color="auto"/>
                <w:lang w:eastAsia="en-GB"/>
              </w:rPr>
              <w:t xml:space="preserve">6.193 </w:t>
            </w:r>
          </w:p>
        </w:tc>
        <w:tc>
          <w:tcPr>
            <w:tcW w:w="199" w:type="pct"/>
            <w:gridSpan w:val="2"/>
            <w:tcBorders>
              <w:top w:val="nil"/>
              <w:left w:val="nil"/>
              <w:bottom w:val="single" w:sz="4" w:space="0" w:color="auto"/>
            </w:tcBorders>
            <w:shd w:val="clear" w:color="auto" w:fill="auto"/>
            <w:vAlign w:val="center"/>
            <w:hideMark/>
          </w:tcPr>
          <w:p w14:paraId="331B8690" w14:textId="77777777" w:rsidR="00B326C9" w:rsidRPr="00026D1B" w:rsidRDefault="001118E7"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eastAsia="en-GB"/>
              </w:rPr>
            </w:pPr>
            <w:r>
              <w:rPr>
                <w:color w:val="auto"/>
                <w:sz w:val="16"/>
                <w:szCs w:val="16"/>
              </w:rPr>
              <w:t>6</w:t>
            </w:r>
            <w:r w:rsidR="00E03ADD">
              <w:rPr>
                <w:color w:val="auto"/>
                <w:sz w:val="16"/>
                <w:szCs w:val="16"/>
              </w:rPr>
              <w:t>9</w:t>
            </w:r>
          </w:p>
        </w:tc>
      </w:tr>
      <w:tr w:rsidR="00B326C9" w:rsidRPr="00922A9B" w14:paraId="3EF950A0"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hideMark/>
          </w:tcPr>
          <w:p w14:paraId="7C0BDD06"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026D1B">
              <w:rPr>
                <w:rFonts w:eastAsia="Times New Roman" w:cs="Times New Roman"/>
                <w:color w:val="auto"/>
                <w:sz w:val="16"/>
                <w:szCs w:val="16"/>
                <w:bdr w:val="none" w:sz="0" w:space="0" w:color="auto"/>
                <w:lang w:eastAsia="en-GB"/>
              </w:rPr>
              <w:t>6</w:t>
            </w:r>
          </w:p>
        </w:tc>
        <w:tc>
          <w:tcPr>
            <w:tcW w:w="371" w:type="pct"/>
            <w:gridSpan w:val="2"/>
            <w:tcBorders>
              <w:top w:val="nil"/>
              <w:left w:val="nil"/>
              <w:bottom w:val="single" w:sz="4" w:space="0" w:color="auto"/>
              <w:right w:val="single" w:sz="4" w:space="0" w:color="auto"/>
            </w:tcBorders>
            <w:shd w:val="clear" w:color="auto" w:fill="auto"/>
            <w:vAlign w:val="center"/>
            <w:hideMark/>
          </w:tcPr>
          <w:p w14:paraId="6E2B1D9F"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026D1B">
              <w:rPr>
                <w:rFonts w:eastAsia="Times New Roman" w:cs="Times New Roman"/>
                <w:color w:val="auto"/>
                <w:sz w:val="16"/>
                <w:szCs w:val="16"/>
                <w:bdr w:val="none" w:sz="0" w:space="0" w:color="auto"/>
                <w:lang w:eastAsia="en-GB"/>
              </w:rPr>
              <w:t>2014-EU-TM-0698</w:t>
            </w:r>
          </w:p>
          <w:p w14:paraId="071C5314" w14:textId="77777777" w:rsidR="00B326C9" w:rsidRPr="00026D1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026D1B">
              <w:rPr>
                <w:rFonts w:eastAsia="Times New Roman" w:cs="Times New Roman"/>
                <w:color w:val="auto"/>
                <w:sz w:val="16"/>
                <w:szCs w:val="16"/>
                <w:bdr w:val="none" w:sz="0" w:space="0" w:color="auto"/>
                <w:lang w:eastAsia="en-GB"/>
              </w:rPr>
              <w:t>-M</w:t>
            </w:r>
          </w:p>
        </w:tc>
        <w:tc>
          <w:tcPr>
            <w:tcW w:w="587" w:type="pct"/>
            <w:gridSpan w:val="2"/>
            <w:tcBorders>
              <w:top w:val="nil"/>
              <w:left w:val="nil"/>
              <w:bottom w:val="single" w:sz="4" w:space="0" w:color="auto"/>
              <w:right w:val="single" w:sz="4" w:space="0" w:color="auto"/>
            </w:tcBorders>
            <w:shd w:val="clear" w:color="auto" w:fill="auto"/>
            <w:vAlign w:val="center"/>
            <w:hideMark/>
          </w:tcPr>
          <w:p w14:paraId="64ABD28C"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GAINN4MOS - </w:t>
            </w:r>
            <w:proofErr w:type="gramStart"/>
            <w:r w:rsidRPr="00310D3C">
              <w:rPr>
                <w:rFonts w:eastAsia="Times New Roman" w:cs="Times New Roman"/>
                <w:color w:val="auto"/>
                <w:sz w:val="16"/>
                <w:szCs w:val="16"/>
                <w:bdr w:val="none" w:sz="0" w:space="0" w:color="auto"/>
                <w:lang w:eastAsia="en-GB"/>
              </w:rPr>
              <w:t>Soluzioni  sostenibili</w:t>
            </w:r>
            <w:proofErr w:type="gramEnd"/>
            <w:r w:rsidRPr="00310D3C">
              <w:rPr>
                <w:rFonts w:eastAsia="Times New Roman" w:cs="Times New Roman"/>
                <w:color w:val="auto"/>
                <w:sz w:val="16"/>
                <w:szCs w:val="16"/>
                <w:bdr w:val="none" w:sz="0" w:space="0" w:color="auto"/>
                <w:lang w:eastAsia="en-GB"/>
              </w:rPr>
              <w:t xml:space="preserve"> per l'adozion</w:t>
            </w:r>
            <w:r w:rsidR="002D4FDD">
              <w:rPr>
                <w:rFonts w:eastAsia="Times New Roman" w:cs="Times New Roman"/>
                <w:color w:val="auto"/>
                <w:sz w:val="16"/>
                <w:szCs w:val="16"/>
                <w:bdr w:val="none" w:sz="0" w:space="0" w:color="auto"/>
                <w:lang w:eastAsia="en-GB"/>
              </w:rPr>
              <w:t>e di carburanti alternativi (GNL</w:t>
            </w:r>
            <w:r w:rsidRPr="00310D3C">
              <w:rPr>
                <w:rFonts w:eastAsia="Times New Roman" w:cs="Times New Roman"/>
                <w:color w:val="auto"/>
                <w:sz w:val="16"/>
                <w:szCs w:val="16"/>
                <w:bdr w:val="none" w:sz="0" w:space="0" w:color="auto"/>
                <w:lang w:eastAsia="en-GB"/>
              </w:rPr>
              <w:t>) nel settore  portuale</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2EB92C1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2700F7">
              <w:rPr>
                <w:rFonts w:eastAsia="Times New Roman" w:cs="Times New Roman"/>
                <w:color w:val="auto"/>
                <w:sz w:val="16"/>
                <w:szCs w:val="16"/>
                <w:bdr w:val="none" w:sz="0" w:space="0" w:color="auto"/>
                <w:lang w:val="en-GB" w:eastAsia="en-GB"/>
              </w:rPr>
              <w:t>30/09/19</w:t>
            </w:r>
          </w:p>
        </w:tc>
        <w:tc>
          <w:tcPr>
            <w:tcW w:w="392" w:type="pct"/>
            <w:gridSpan w:val="2"/>
            <w:tcBorders>
              <w:top w:val="nil"/>
              <w:left w:val="nil"/>
              <w:bottom w:val="single" w:sz="4" w:space="0" w:color="auto"/>
              <w:right w:val="single" w:sz="4" w:space="0" w:color="auto"/>
            </w:tcBorders>
            <w:shd w:val="clear" w:color="auto" w:fill="auto"/>
            <w:noWrap/>
            <w:vAlign w:val="center"/>
          </w:tcPr>
          <w:p w14:paraId="10DE138E"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10.029</w:t>
            </w:r>
          </w:p>
        </w:tc>
        <w:tc>
          <w:tcPr>
            <w:tcW w:w="522" w:type="pct"/>
            <w:gridSpan w:val="4"/>
            <w:tcBorders>
              <w:top w:val="nil"/>
              <w:left w:val="nil"/>
              <w:bottom w:val="single" w:sz="4" w:space="0" w:color="auto"/>
              <w:right w:val="single" w:sz="4" w:space="0" w:color="auto"/>
            </w:tcBorders>
            <w:shd w:val="clear" w:color="auto" w:fill="auto"/>
            <w:noWrap/>
            <w:vAlign w:val="center"/>
          </w:tcPr>
          <w:p w14:paraId="32A0D8D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A4F78">
              <w:rPr>
                <w:rFonts w:eastAsia="Times New Roman" w:cs="Times New Roman"/>
                <w:color w:val="auto"/>
                <w:sz w:val="16"/>
                <w:szCs w:val="16"/>
                <w:bdr w:val="none" w:sz="0" w:space="0" w:color="auto"/>
                <w:lang w:eastAsia="en-GB"/>
              </w:rPr>
              <w:t>5.</w:t>
            </w:r>
            <w:r>
              <w:rPr>
                <w:rFonts w:eastAsia="Times New Roman" w:cs="Times New Roman"/>
                <w:color w:val="auto"/>
                <w:sz w:val="16"/>
                <w:szCs w:val="16"/>
                <w:bdr w:val="none" w:sz="0" w:space="0" w:color="auto"/>
                <w:lang w:eastAsia="en-GB"/>
              </w:rPr>
              <w:t>014</w:t>
            </w:r>
            <w:r w:rsidRPr="004A4F78">
              <w:rPr>
                <w:rFonts w:eastAsia="Times New Roman" w:cs="Times New Roman"/>
                <w:color w:val="auto"/>
                <w:sz w:val="16"/>
                <w:szCs w:val="16"/>
                <w:bdr w:val="none" w:sz="0" w:space="0" w:color="auto"/>
                <w:lang w:eastAsia="en-GB"/>
              </w:rPr>
              <w:t xml:space="preserve"> </w:t>
            </w:r>
          </w:p>
        </w:tc>
        <w:tc>
          <w:tcPr>
            <w:tcW w:w="487" w:type="pct"/>
            <w:gridSpan w:val="4"/>
            <w:tcBorders>
              <w:top w:val="nil"/>
              <w:left w:val="nil"/>
              <w:bottom w:val="single" w:sz="4" w:space="0" w:color="auto"/>
              <w:right w:val="single" w:sz="4" w:space="0" w:color="auto"/>
            </w:tcBorders>
            <w:shd w:val="clear" w:color="auto" w:fill="auto"/>
            <w:noWrap/>
            <w:vAlign w:val="center"/>
          </w:tcPr>
          <w:p w14:paraId="5FABC164"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28.634</w:t>
            </w:r>
          </w:p>
        </w:tc>
        <w:tc>
          <w:tcPr>
            <w:tcW w:w="462" w:type="pct"/>
            <w:gridSpan w:val="4"/>
            <w:tcBorders>
              <w:top w:val="nil"/>
              <w:left w:val="nil"/>
              <w:bottom w:val="single" w:sz="4" w:space="0" w:color="auto"/>
              <w:right w:val="single" w:sz="4" w:space="0" w:color="auto"/>
            </w:tcBorders>
            <w:shd w:val="clear" w:color="auto" w:fill="auto"/>
            <w:noWrap/>
            <w:vAlign w:val="center"/>
          </w:tcPr>
          <w:p w14:paraId="5B26FAE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A4F78">
              <w:rPr>
                <w:rFonts w:eastAsia="Times New Roman" w:cs="Times New Roman"/>
                <w:color w:val="auto"/>
                <w:sz w:val="16"/>
                <w:szCs w:val="16"/>
                <w:bdr w:val="none" w:sz="0" w:space="0" w:color="auto"/>
                <w:lang w:eastAsia="en-GB"/>
              </w:rPr>
              <w:t>1</w:t>
            </w:r>
            <w:r>
              <w:rPr>
                <w:rFonts w:eastAsia="Times New Roman" w:cs="Times New Roman"/>
                <w:color w:val="auto"/>
                <w:sz w:val="16"/>
                <w:szCs w:val="16"/>
                <w:bdr w:val="none" w:sz="0" w:space="0" w:color="auto"/>
                <w:lang w:eastAsia="en-GB"/>
              </w:rPr>
              <w:t>1.668</w:t>
            </w:r>
            <w:r w:rsidRPr="004A4F78">
              <w:rPr>
                <w:rFonts w:eastAsia="Times New Roman" w:cs="Times New Roman"/>
                <w:color w:val="auto"/>
                <w:sz w:val="16"/>
                <w:szCs w:val="16"/>
                <w:bdr w:val="none" w:sz="0" w:space="0" w:color="auto"/>
                <w:lang w:eastAsia="en-GB"/>
              </w:rPr>
              <w:t xml:space="preserve"> </w:t>
            </w:r>
          </w:p>
        </w:tc>
        <w:tc>
          <w:tcPr>
            <w:tcW w:w="436" w:type="pct"/>
            <w:gridSpan w:val="4"/>
            <w:tcBorders>
              <w:top w:val="nil"/>
              <w:left w:val="nil"/>
              <w:bottom w:val="single" w:sz="4" w:space="0" w:color="auto"/>
              <w:right w:val="single" w:sz="4" w:space="0" w:color="auto"/>
            </w:tcBorders>
            <w:shd w:val="clear" w:color="auto" w:fill="auto"/>
            <w:noWrap/>
            <w:vAlign w:val="center"/>
          </w:tcPr>
          <w:p w14:paraId="01739CFA" w14:textId="77777777" w:rsidR="00B326C9" w:rsidRPr="002700F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3.259</w:t>
            </w:r>
            <w:r w:rsidRPr="004A4F78">
              <w:rPr>
                <w:rFonts w:eastAsia="Times New Roman" w:cs="Times New Roman"/>
                <w:color w:val="auto"/>
                <w:sz w:val="16"/>
                <w:szCs w:val="16"/>
                <w:bdr w:val="none" w:sz="0" w:space="0" w:color="auto"/>
                <w:lang w:eastAsia="en-GB"/>
              </w:rPr>
              <w:t xml:space="preserve"> </w:t>
            </w:r>
          </w:p>
        </w:tc>
        <w:tc>
          <w:tcPr>
            <w:tcW w:w="354" w:type="pct"/>
            <w:gridSpan w:val="4"/>
            <w:tcBorders>
              <w:top w:val="nil"/>
              <w:left w:val="nil"/>
              <w:bottom w:val="single" w:sz="4" w:space="0" w:color="auto"/>
              <w:right w:val="single" w:sz="4" w:space="0" w:color="auto"/>
            </w:tcBorders>
            <w:shd w:val="clear" w:color="auto" w:fill="auto"/>
            <w:noWrap/>
            <w:vAlign w:val="center"/>
          </w:tcPr>
          <w:p w14:paraId="4B59D360" w14:textId="77777777" w:rsidR="00B326C9" w:rsidRPr="002700F7"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eastAsia="en-GB"/>
              </w:rPr>
            </w:pPr>
            <w:r>
              <w:rPr>
                <w:sz w:val="16"/>
                <w:szCs w:val="16"/>
              </w:rPr>
              <w:t>65,0</w:t>
            </w:r>
          </w:p>
        </w:tc>
        <w:tc>
          <w:tcPr>
            <w:tcW w:w="273" w:type="pct"/>
            <w:gridSpan w:val="3"/>
            <w:tcBorders>
              <w:top w:val="nil"/>
              <w:left w:val="nil"/>
              <w:bottom w:val="single" w:sz="4" w:space="0" w:color="auto"/>
              <w:right w:val="single" w:sz="4" w:space="0" w:color="auto"/>
            </w:tcBorders>
            <w:shd w:val="clear" w:color="auto" w:fill="auto"/>
            <w:vAlign w:val="center"/>
          </w:tcPr>
          <w:p w14:paraId="500ED853" w14:textId="77777777" w:rsidR="00B326C9" w:rsidRPr="002700F7"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42</w:t>
            </w:r>
          </w:p>
        </w:tc>
        <w:tc>
          <w:tcPr>
            <w:tcW w:w="467" w:type="pct"/>
            <w:gridSpan w:val="3"/>
            <w:tcBorders>
              <w:top w:val="nil"/>
              <w:left w:val="nil"/>
              <w:bottom w:val="single" w:sz="4" w:space="0" w:color="auto"/>
              <w:right w:val="single" w:sz="4" w:space="0" w:color="auto"/>
            </w:tcBorders>
            <w:shd w:val="clear" w:color="auto" w:fill="auto"/>
            <w:vAlign w:val="center"/>
            <w:hideMark/>
          </w:tcPr>
          <w:p w14:paraId="648DD446" w14:textId="77777777" w:rsidR="00B326C9" w:rsidRPr="002700F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2700F7">
              <w:rPr>
                <w:rFonts w:eastAsia="Times New Roman" w:cs="Times New Roman"/>
                <w:color w:val="auto"/>
                <w:sz w:val="16"/>
                <w:szCs w:val="16"/>
                <w:bdr w:val="none" w:sz="0" w:space="0" w:color="auto"/>
                <w:lang w:eastAsia="en-GB"/>
              </w:rPr>
              <w:t xml:space="preserve"> 7.635 </w:t>
            </w:r>
          </w:p>
        </w:tc>
        <w:tc>
          <w:tcPr>
            <w:tcW w:w="199" w:type="pct"/>
            <w:gridSpan w:val="2"/>
            <w:tcBorders>
              <w:top w:val="nil"/>
              <w:left w:val="nil"/>
              <w:bottom w:val="single" w:sz="4" w:space="0" w:color="auto"/>
            </w:tcBorders>
            <w:shd w:val="clear" w:color="auto" w:fill="auto"/>
            <w:vAlign w:val="center"/>
            <w:hideMark/>
          </w:tcPr>
          <w:p w14:paraId="30155F64" w14:textId="77777777" w:rsidR="00B326C9" w:rsidRPr="002700F7"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eastAsia="en-GB"/>
              </w:rPr>
            </w:pPr>
            <w:proofErr w:type="spellStart"/>
            <w:r w:rsidRPr="002700F7">
              <w:rPr>
                <w:color w:val="auto"/>
                <w:sz w:val="16"/>
                <w:szCs w:val="16"/>
              </w:rPr>
              <w:t>n.d.</w:t>
            </w:r>
            <w:proofErr w:type="spellEnd"/>
          </w:p>
        </w:tc>
      </w:tr>
      <w:tr w:rsidR="00B326C9" w:rsidRPr="00922A9B" w14:paraId="1DD0F3D2" w14:textId="77777777" w:rsidTr="00C56F61">
        <w:trPr>
          <w:trHeight w:val="1905"/>
        </w:trPr>
        <w:tc>
          <w:tcPr>
            <w:tcW w:w="230" w:type="pct"/>
            <w:tcBorders>
              <w:top w:val="nil"/>
              <w:left w:val="nil"/>
              <w:bottom w:val="single" w:sz="4" w:space="0" w:color="auto"/>
              <w:right w:val="single" w:sz="4" w:space="0" w:color="auto"/>
            </w:tcBorders>
            <w:shd w:val="clear" w:color="auto" w:fill="auto"/>
            <w:noWrap/>
            <w:vAlign w:val="center"/>
            <w:hideMark/>
          </w:tcPr>
          <w:p w14:paraId="7D96E708" w14:textId="77777777" w:rsidR="00B326C9" w:rsidRPr="002700F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2700F7">
              <w:rPr>
                <w:rFonts w:eastAsia="Times New Roman" w:cs="Times New Roman"/>
                <w:color w:val="auto"/>
                <w:sz w:val="16"/>
                <w:szCs w:val="16"/>
                <w:bdr w:val="none" w:sz="0" w:space="0" w:color="auto"/>
                <w:lang w:eastAsia="en-GB"/>
              </w:rPr>
              <w:t>7</w:t>
            </w:r>
          </w:p>
        </w:tc>
        <w:tc>
          <w:tcPr>
            <w:tcW w:w="371" w:type="pct"/>
            <w:gridSpan w:val="2"/>
            <w:tcBorders>
              <w:top w:val="nil"/>
              <w:left w:val="nil"/>
              <w:bottom w:val="single" w:sz="4" w:space="0" w:color="auto"/>
              <w:right w:val="single" w:sz="4" w:space="0" w:color="auto"/>
            </w:tcBorders>
            <w:shd w:val="clear" w:color="auto" w:fill="auto"/>
            <w:vAlign w:val="center"/>
            <w:hideMark/>
          </w:tcPr>
          <w:p w14:paraId="212A271A" w14:textId="77777777" w:rsidR="00B326C9" w:rsidRPr="002700F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2700F7">
              <w:rPr>
                <w:rFonts w:eastAsia="Times New Roman" w:cs="Times New Roman"/>
                <w:color w:val="auto"/>
                <w:sz w:val="16"/>
                <w:szCs w:val="16"/>
                <w:bdr w:val="none" w:sz="0" w:space="0" w:color="auto"/>
                <w:lang w:eastAsia="en-GB"/>
              </w:rPr>
              <w:t>2014-IT-TM-0276</w:t>
            </w:r>
          </w:p>
          <w:p w14:paraId="692ADA66" w14:textId="77777777" w:rsidR="00B326C9" w:rsidRPr="002700F7"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2700F7">
              <w:rPr>
                <w:rFonts w:eastAsia="Times New Roman" w:cs="Times New Roman"/>
                <w:color w:val="auto"/>
                <w:sz w:val="16"/>
                <w:szCs w:val="16"/>
                <w:bdr w:val="none" w:sz="0" w:space="0" w:color="auto"/>
                <w:lang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2C095F9C"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INES - Implementazione di soluzioni ambientali innovative nel porto di Genova (gestione area rifiuti ed elettrificazione banchine)</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7EA5B45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30/06/</w:t>
            </w:r>
            <w:r>
              <w:rPr>
                <w:rFonts w:eastAsia="Times New Roman" w:cs="Times New Roman"/>
                <w:color w:val="auto"/>
                <w:sz w:val="16"/>
                <w:szCs w:val="16"/>
                <w:bdr w:val="none" w:sz="0" w:space="0" w:color="auto"/>
                <w:lang w:val="en-GB" w:eastAsia="en-GB"/>
              </w:rPr>
              <w:t>21</w:t>
            </w:r>
          </w:p>
        </w:tc>
        <w:tc>
          <w:tcPr>
            <w:tcW w:w="392" w:type="pct"/>
            <w:gridSpan w:val="2"/>
            <w:tcBorders>
              <w:top w:val="nil"/>
              <w:left w:val="nil"/>
              <w:bottom w:val="single" w:sz="4" w:space="0" w:color="auto"/>
              <w:right w:val="single" w:sz="4" w:space="0" w:color="auto"/>
            </w:tcBorders>
            <w:shd w:val="clear" w:color="auto" w:fill="auto"/>
            <w:noWrap/>
            <w:vAlign w:val="center"/>
          </w:tcPr>
          <w:p w14:paraId="36056C0A"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12.100</w:t>
            </w:r>
          </w:p>
        </w:tc>
        <w:tc>
          <w:tcPr>
            <w:tcW w:w="522" w:type="pct"/>
            <w:gridSpan w:val="4"/>
            <w:tcBorders>
              <w:top w:val="nil"/>
              <w:left w:val="nil"/>
              <w:bottom w:val="single" w:sz="4" w:space="0" w:color="auto"/>
              <w:right w:val="single" w:sz="4" w:space="0" w:color="auto"/>
            </w:tcBorders>
            <w:shd w:val="clear" w:color="auto" w:fill="auto"/>
            <w:noWrap/>
            <w:vAlign w:val="center"/>
          </w:tcPr>
          <w:p w14:paraId="090E9912"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A4F78">
              <w:rPr>
                <w:rFonts w:eastAsia="Times New Roman" w:cs="Times New Roman"/>
                <w:color w:val="auto"/>
                <w:sz w:val="16"/>
                <w:szCs w:val="16"/>
                <w:bdr w:val="none" w:sz="0" w:space="0" w:color="auto"/>
                <w:lang w:eastAsia="en-GB"/>
              </w:rPr>
              <w:t>2.</w:t>
            </w:r>
            <w:r>
              <w:rPr>
                <w:rFonts w:eastAsia="Times New Roman" w:cs="Times New Roman"/>
                <w:color w:val="auto"/>
                <w:sz w:val="16"/>
                <w:szCs w:val="16"/>
                <w:bdr w:val="none" w:sz="0" w:space="0" w:color="auto"/>
                <w:lang w:eastAsia="en-GB"/>
              </w:rPr>
              <w:t>434</w:t>
            </w:r>
          </w:p>
        </w:tc>
        <w:tc>
          <w:tcPr>
            <w:tcW w:w="487" w:type="pct"/>
            <w:gridSpan w:val="4"/>
            <w:tcBorders>
              <w:top w:val="nil"/>
              <w:left w:val="nil"/>
              <w:bottom w:val="single" w:sz="4" w:space="0" w:color="auto"/>
              <w:right w:val="single" w:sz="4" w:space="0" w:color="auto"/>
            </w:tcBorders>
            <w:shd w:val="clear" w:color="auto" w:fill="auto"/>
            <w:noWrap/>
            <w:vAlign w:val="center"/>
          </w:tcPr>
          <w:p w14:paraId="10130E6D"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12.100</w:t>
            </w:r>
          </w:p>
        </w:tc>
        <w:tc>
          <w:tcPr>
            <w:tcW w:w="462" w:type="pct"/>
            <w:gridSpan w:val="4"/>
            <w:tcBorders>
              <w:top w:val="nil"/>
              <w:left w:val="nil"/>
              <w:bottom w:val="single" w:sz="4" w:space="0" w:color="auto"/>
              <w:right w:val="single" w:sz="4" w:space="0" w:color="auto"/>
            </w:tcBorders>
            <w:shd w:val="clear" w:color="auto" w:fill="auto"/>
            <w:noWrap/>
            <w:vAlign w:val="center"/>
          </w:tcPr>
          <w:p w14:paraId="461D18A1"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2.434</w:t>
            </w:r>
          </w:p>
        </w:tc>
        <w:tc>
          <w:tcPr>
            <w:tcW w:w="436" w:type="pct"/>
            <w:gridSpan w:val="4"/>
            <w:tcBorders>
              <w:top w:val="nil"/>
              <w:left w:val="nil"/>
              <w:bottom w:val="single" w:sz="4" w:space="0" w:color="auto"/>
              <w:right w:val="single" w:sz="4" w:space="0" w:color="auto"/>
            </w:tcBorders>
            <w:shd w:val="clear" w:color="auto" w:fill="auto"/>
            <w:noWrap/>
            <w:vAlign w:val="center"/>
          </w:tcPr>
          <w:p w14:paraId="6546B8B2"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774</w:t>
            </w:r>
          </w:p>
        </w:tc>
        <w:tc>
          <w:tcPr>
            <w:tcW w:w="354" w:type="pct"/>
            <w:gridSpan w:val="4"/>
            <w:tcBorders>
              <w:top w:val="nil"/>
              <w:left w:val="nil"/>
              <w:bottom w:val="single" w:sz="4" w:space="0" w:color="auto"/>
              <w:right w:val="single" w:sz="4" w:space="0" w:color="auto"/>
            </w:tcBorders>
            <w:shd w:val="clear" w:color="auto" w:fill="auto"/>
            <w:noWrap/>
            <w:vAlign w:val="center"/>
          </w:tcPr>
          <w:p w14:paraId="65286731"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31,8</w:t>
            </w:r>
          </w:p>
        </w:tc>
        <w:tc>
          <w:tcPr>
            <w:tcW w:w="273" w:type="pct"/>
            <w:gridSpan w:val="3"/>
            <w:tcBorders>
              <w:top w:val="nil"/>
              <w:left w:val="nil"/>
              <w:bottom w:val="single" w:sz="4" w:space="0" w:color="auto"/>
              <w:right w:val="single" w:sz="4" w:space="0" w:color="auto"/>
            </w:tcBorders>
            <w:shd w:val="clear" w:color="auto" w:fill="auto"/>
            <w:vAlign w:val="center"/>
          </w:tcPr>
          <w:p w14:paraId="5A0BBD88" w14:textId="77777777" w:rsidR="00B326C9" w:rsidRPr="00922A9B" w:rsidRDefault="00B326C9" w:rsidP="0000635D">
            <w:pPr>
              <w:pBdr>
                <w:top w:val="none" w:sz="0" w:space="0" w:color="auto"/>
                <w:left w:val="none" w:sz="0" w:space="0" w:color="auto"/>
                <w:bottom w:val="none" w:sz="0" w:space="0" w:color="auto"/>
                <w:right w:val="none" w:sz="0" w:space="0" w:color="auto"/>
                <w:between w:val="none" w:sz="0" w:space="0" w:color="auto"/>
                <w:bar w:val="none" w:sz="0" w:color="auto"/>
              </w:pBdr>
              <w:ind w:left="-35" w:right="-72"/>
              <w:jc w:val="right"/>
              <w:rPr>
                <w:rFonts w:eastAsia="Times New Roman" w:cs="Times New Roman"/>
                <w:color w:val="auto"/>
                <w:sz w:val="16"/>
                <w:szCs w:val="16"/>
                <w:bdr w:val="none" w:sz="0" w:space="0" w:color="auto"/>
                <w:lang w:val="en-GB" w:eastAsia="en-GB"/>
              </w:rPr>
            </w:pPr>
            <w:r w:rsidRPr="002700F7">
              <w:rPr>
                <w:rFonts w:eastAsia="Times New Roman" w:cs="Times New Roman"/>
                <w:color w:val="auto"/>
                <w:sz w:val="16"/>
                <w:szCs w:val="16"/>
                <w:bdr w:val="none" w:sz="0" w:space="0" w:color="auto"/>
                <w:lang w:eastAsia="en-GB"/>
              </w:rPr>
              <w:t>-2.218</w:t>
            </w:r>
            <w:r w:rsidRPr="004A4F78">
              <w:rPr>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tcPr>
          <w:p w14:paraId="0F72F87B" w14:textId="77777777" w:rsidR="00B326C9" w:rsidRPr="00922A9B" w:rsidRDefault="00B326C9" w:rsidP="00BD6D24">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eastAsia="en-GB"/>
              </w:rPr>
              <w:t>2.773</w:t>
            </w:r>
            <w:r w:rsidRPr="004A4F78">
              <w:rPr>
                <w:rFonts w:eastAsia="Times New Roman" w:cs="Times New Roman"/>
                <w:color w:val="auto"/>
                <w:sz w:val="16"/>
                <w:szCs w:val="16"/>
                <w:bdr w:val="none" w:sz="0" w:space="0" w:color="auto"/>
                <w:lang w:eastAsia="en-GB"/>
              </w:rPr>
              <w:t xml:space="preserve"> </w:t>
            </w:r>
          </w:p>
        </w:tc>
        <w:tc>
          <w:tcPr>
            <w:tcW w:w="199" w:type="pct"/>
            <w:gridSpan w:val="2"/>
            <w:tcBorders>
              <w:top w:val="nil"/>
              <w:left w:val="nil"/>
              <w:bottom w:val="single" w:sz="4" w:space="0" w:color="auto"/>
            </w:tcBorders>
            <w:shd w:val="clear" w:color="auto" w:fill="auto"/>
            <w:vAlign w:val="center"/>
          </w:tcPr>
          <w:p w14:paraId="48B333A4"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22</w:t>
            </w:r>
          </w:p>
        </w:tc>
      </w:tr>
      <w:tr w:rsidR="00B326C9" w:rsidRPr="00922A9B" w14:paraId="09DA0961" w14:textId="77777777" w:rsidTr="00C56F61">
        <w:trPr>
          <w:trHeight w:val="267"/>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74267F9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8</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F924C4"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2014-IT-TM-0450</w:t>
            </w:r>
          </w:p>
          <w:p w14:paraId="0804182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1F0BF9" w14:textId="77777777" w:rsidR="00B326C9" w:rsidRPr="00B70F83" w:rsidRDefault="00B326C9"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GAINN4CORE- studi ed azioni pilota per l'implementazi</w:t>
            </w:r>
            <w:r w:rsidR="00420A1A">
              <w:rPr>
                <w:rFonts w:eastAsia="Times New Roman" w:cs="Times New Roman"/>
                <w:color w:val="auto"/>
                <w:sz w:val="16"/>
                <w:szCs w:val="16"/>
                <w:bdr w:val="none" w:sz="0" w:space="0" w:color="auto"/>
                <w:lang w:eastAsia="en-GB"/>
              </w:rPr>
              <w:t>o</w:t>
            </w:r>
            <w:r w:rsidRPr="00310D3C">
              <w:rPr>
                <w:rFonts w:eastAsia="Times New Roman" w:cs="Times New Roman"/>
                <w:color w:val="auto"/>
                <w:sz w:val="16"/>
                <w:szCs w:val="16"/>
                <w:bdr w:val="none" w:sz="0" w:space="0" w:color="auto"/>
                <w:lang w:eastAsia="en-GB"/>
              </w:rPr>
              <w:t xml:space="preserve">ne di terminal di </w:t>
            </w:r>
            <w:proofErr w:type="spellStart"/>
            <w:r w:rsidR="0000635D" w:rsidRPr="00310D3C">
              <w:rPr>
                <w:rFonts w:eastAsia="Times New Roman" w:cs="Times New Roman"/>
                <w:color w:val="auto"/>
                <w:sz w:val="16"/>
                <w:szCs w:val="16"/>
                <w:bdr w:val="none" w:sz="0" w:space="0" w:color="auto"/>
                <w:lang w:eastAsia="en-GB"/>
              </w:rPr>
              <w:t>approvvigio</w:t>
            </w:r>
            <w:r w:rsidR="00420A1A">
              <w:rPr>
                <w:rFonts w:eastAsia="Times New Roman" w:cs="Times New Roman"/>
                <w:color w:val="auto"/>
                <w:sz w:val="16"/>
                <w:szCs w:val="16"/>
                <w:bdr w:val="none" w:sz="0" w:space="0" w:color="auto"/>
                <w:lang w:eastAsia="en-GB"/>
              </w:rPr>
              <w:t>-</w:t>
            </w:r>
            <w:r w:rsidR="0000635D" w:rsidRPr="00310D3C">
              <w:rPr>
                <w:rFonts w:eastAsia="Times New Roman" w:cs="Times New Roman"/>
                <w:color w:val="auto"/>
                <w:sz w:val="16"/>
                <w:szCs w:val="16"/>
                <w:bdr w:val="none" w:sz="0" w:space="0" w:color="auto"/>
                <w:lang w:eastAsia="en-GB"/>
              </w:rPr>
              <w:t>namento</w:t>
            </w:r>
            <w:proofErr w:type="spellEnd"/>
            <w:r w:rsidRPr="00310D3C">
              <w:rPr>
                <w:rFonts w:eastAsia="Times New Roman" w:cs="Times New Roman"/>
                <w:color w:val="auto"/>
                <w:sz w:val="16"/>
                <w:szCs w:val="16"/>
                <w:bdr w:val="none" w:sz="0" w:space="0" w:color="auto"/>
                <w:lang w:eastAsia="en-GB"/>
              </w:rPr>
              <w:t xml:space="preserve">, stoccaggio e bunkeraggio </w:t>
            </w:r>
            <w:r w:rsidR="002D4FDD">
              <w:rPr>
                <w:rFonts w:eastAsia="Times New Roman" w:cs="Times New Roman"/>
                <w:color w:val="auto"/>
                <w:sz w:val="16"/>
                <w:szCs w:val="16"/>
                <w:bdr w:val="none" w:sz="0" w:space="0" w:color="auto"/>
                <w:lang w:eastAsia="en-GB"/>
              </w:rPr>
              <w:t>GNL</w:t>
            </w:r>
            <w:r w:rsidRPr="00310D3C">
              <w:rPr>
                <w:rFonts w:eastAsia="Times New Roman" w:cs="Times New Roman"/>
                <w:color w:val="auto"/>
                <w:sz w:val="16"/>
                <w:szCs w:val="16"/>
                <w:bdr w:val="none" w:sz="0" w:space="0" w:color="auto"/>
                <w:lang w:eastAsia="en-GB"/>
              </w:rPr>
              <w:t>.</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21B22B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30/09/19</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F25A9" w14:textId="77777777" w:rsidR="00B326C9" w:rsidRPr="00922A9B" w:rsidRDefault="00B326C9" w:rsidP="00671F8E">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7.107</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4AF2B" w14:textId="77777777" w:rsidR="00B326C9" w:rsidRPr="00922A9B" w:rsidRDefault="00B326C9" w:rsidP="00671F8E">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3.553</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D83D" w14:textId="77777777" w:rsidR="00B326C9" w:rsidRPr="00922A9B" w:rsidRDefault="00B326C9" w:rsidP="00671F8E">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7.107</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49146" w14:textId="77777777" w:rsidR="00B326C9" w:rsidRPr="00922A9B" w:rsidRDefault="00B326C9" w:rsidP="00671F8E">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3.553</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600AD" w14:textId="77777777" w:rsidR="00B326C9" w:rsidRPr="00D56C61" w:rsidRDefault="00B326C9" w:rsidP="00671F8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16"/>
                <w:szCs w:val="16"/>
                <w:bdr w:val="none" w:sz="0" w:space="0" w:color="auto"/>
                <w:lang w:val="en-GB" w:eastAsia="en-GB"/>
              </w:rPr>
            </w:pPr>
            <w:r w:rsidRPr="00D56C61">
              <w:rPr>
                <w:rFonts w:eastAsia="Times New Roman" w:cs="Times New Roman"/>
                <w:color w:val="auto"/>
                <w:sz w:val="16"/>
                <w:szCs w:val="16"/>
                <w:bdr w:val="none" w:sz="0" w:space="0" w:color="auto"/>
                <w:lang w:val="en-GB" w:eastAsia="en-GB"/>
              </w:rPr>
              <w:t xml:space="preserve">3.004 </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4A2F3" w14:textId="77777777" w:rsidR="00B326C9" w:rsidRPr="00671F8E" w:rsidRDefault="00B326C9" w:rsidP="00671F8E">
            <w:pPr>
              <w:pBdr>
                <w:top w:val="none" w:sz="0" w:space="0" w:color="auto"/>
                <w:left w:val="none" w:sz="0" w:space="0" w:color="auto"/>
                <w:bottom w:val="none" w:sz="0" w:space="0" w:color="auto"/>
                <w:right w:val="none" w:sz="0" w:space="0" w:color="auto"/>
                <w:between w:val="none" w:sz="0" w:space="0" w:color="auto"/>
                <w:bar w:val="none" w:sz="0" w:color="auto"/>
              </w:pBdr>
              <w:ind w:right="-108"/>
              <w:rPr>
                <w:rFonts w:eastAsia="Times New Roman" w:cs="Times New Roman"/>
                <w:color w:val="auto"/>
                <w:sz w:val="16"/>
                <w:szCs w:val="16"/>
                <w:bdr w:val="none" w:sz="0" w:space="0" w:color="auto"/>
                <w:lang w:val="en-GB" w:eastAsia="en-GB"/>
              </w:rPr>
            </w:pPr>
            <w:r w:rsidRPr="00671F8E">
              <w:rPr>
                <w:rFonts w:eastAsia="Times New Roman" w:cs="Times New Roman"/>
                <w:color w:val="auto"/>
                <w:sz w:val="16"/>
                <w:szCs w:val="16"/>
                <w:bdr w:val="none" w:sz="0" w:space="0" w:color="auto"/>
                <w:lang w:val="en-GB" w:eastAsia="en-GB"/>
              </w:rPr>
              <w:t>84,5</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CBFD4C" w14:textId="77777777" w:rsidR="00B326C9" w:rsidRPr="00D56C61" w:rsidRDefault="00B326C9" w:rsidP="00420A1A">
            <w:pPr>
              <w:pBdr>
                <w:top w:val="none" w:sz="0" w:space="0" w:color="auto"/>
                <w:left w:val="none" w:sz="0" w:space="0" w:color="auto"/>
                <w:bottom w:val="none" w:sz="0" w:space="0" w:color="auto"/>
                <w:right w:val="none" w:sz="0" w:space="0" w:color="auto"/>
                <w:between w:val="none" w:sz="0" w:space="0" w:color="auto"/>
                <w:bar w:val="none" w:sz="0" w:color="auto"/>
              </w:pBdr>
              <w:ind w:left="-177" w:right="-72"/>
              <w:jc w:val="right"/>
              <w:rPr>
                <w:rFonts w:eastAsia="Times New Roman" w:cs="Times New Roman"/>
                <w:color w:val="auto"/>
                <w:sz w:val="16"/>
                <w:szCs w:val="16"/>
                <w:bdr w:val="none" w:sz="0" w:space="0" w:color="auto"/>
                <w:lang w:val="en-GB" w:eastAsia="en-GB"/>
              </w:rPr>
            </w:pPr>
            <w:r w:rsidRPr="00671F8E">
              <w:rPr>
                <w:rFonts w:eastAsia="Times New Roman" w:cs="Times New Roman"/>
                <w:color w:val="auto"/>
                <w:sz w:val="16"/>
                <w:szCs w:val="16"/>
                <w:bdr w:val="none" w:sz="0" w:space="0" w:color="auto"/>
                <w:lang w:val="en-GB" w:eastAsia="en-GB"/>
              </w:rPr>
              <w:t xml:space="preserve">-8.888   </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C12F37" w14:textId="77777777" w:rsidR="00B326C9" w:rsidRPr="00671F8E" w:rsidRDefault="00732F02"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671F8E">
              <w:rPr>
                <w:rFonts w:eastAsia="Times New Roman" w:cs="Times New Roman"/>
                <w:color w:val="auto"/>
                <w:sz w:val="16"/>
                <w:szCs w:val="16"/>
                <w:bdr w:val="none" w:sz="0" w:space="0" w:color="auto"/>
                <w:lang w:val="en-GB" w:eastAsia="en-GB"/>
              </w:rPr>
              <w:t>2.197</w:t>
            </w:r>
          </w:p>
        </w:tc>
        <w:tc>
          <w:tcPr>
            <w:tcW w:w="199" w:type="pct"/>
            <w:gridSpan w:val="2"/>
            <w:tcBorders>
              <w:top w:val="single" w:sz="4" w:space="0" w:color="auto"/>
              <w:left w:val="single" w:sz="4" w:space="0" w:color="auto"/>
              <w:bottom w:val="single" w:sz="4" w:space="0" w:color="auto"/>
            </w:tcBorders>
            <w:shd w:val="clear" w:color="auto" w:fill="auto"/>
            <w:vAlign w:val="center"/>
            <w:hideMark/>
          </w:tcPr>
          <w:p w14:paraId="143D2C52" w14:textId="77777777" w:rsidR="00B326C9" w:rsidRPr="00671F8E"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sidRPr="00671F8E">
              <w:rPr>
                <w:rFonts w:eastAsia="Times New Roman" w:cs="Times New Roman"/>
                <w:color w:val="auto"/>
                <w:sz w:val="16"/>
                <w:szCs w:val="16"/>
                <w:bdr w:val="none" w:sz="0" w:space="0" w:color="auto"/>
                <w:lang w:val="en-GB" w:eastAsia="en-GB"/>
              </w:rPr>
              <w:t>83</w:t>
            </w:r>
          </w:p>
        </w:tc>
      </w:tr>
      <w:tr w:rsidR="00B326C9" w:rsidRPr="00922A9B" w14:paraId="44380B11" w14:textId="77777777" w:rsidTr="00C56F61">
        <w:trPr>
          <w:trHeight w:val="1308"/>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0CA67B93" w14:textId="77777777" w:rsidR="00B326C9" w:rsidRPr="00D56C6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D56C61">
              <w:rPr>
                <w:rFonts w:eastAsia="Times New Roman" w:cs="Times New Roman"/>
                <w:color w:val="auto"/>
                <w:sz w:val="16"/>
                <w:szCs w:val="16"/>
                <w:bdr w:val="none" w:sz="0" w:space="0" w:color="auto"/>
                <w:lang w:eastAsia="en-GB"/>
              </w:rPr>
              <w:lastRenderedPageBreak/>
              <w:t>9</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DF65C1" w14:textId="77777777" w:rsidR="00B326C9" w:rsidRPr="00D56C6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D56C61">
              <w:rPr>
                <w:rFonts w:eastAsia="Times New Roman" w:cs="Times New Roman"/>
                <w:color w:val="auto"/>
                <w:sz w:val="16"/>
                <w:szCs w:val="16"/>
                <w:bdr w:val="none" w:sz="0" w:space="0" w:color="auto"/>
                <w:lang w:eastAsia="en-GB"/>
              </w:rPr>
              <w:t>2015-EU-TM-0108</w:t>
            </w:r>
          </w:p>
          <w:p w14:paraId="3A4F9586" w14:textId="77777777" w:rsidR="00B326C9" w:rsidRPr="00D56C61"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D56C61">
              <w:rPr>
                <w:rFonts w:eastAsia="Times New Roman" w:cs="Times New Roman"/>
                <w:color w:val="auto"/>
                <w:sz w:val="16"/>
                <w:szCs w:val="16"/>
                <w:bdr w:val="none" w:sz="0" w:space="0" w:color="auto"/>
                <w:lang w:eastAsia="en-GB"/>
              </w:rPr>
              <w:t>-S</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280B8D"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PICASSO-Studio e testing di azioni ICT con riferimento alla sicurezza a bordo nave ed in porto.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D4FD9D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D56C61">
              <w:rPr>
                <w:rFonts w:eastAsia="Times New Roman" w:cs="Times New Roman"/>
                <w:color w:val="auto"/>
                <w:sz w:val="16"/>
                <w:szCs w:val="16"/>
                <w:bdr w:val="none" w:sz="0" w:space="0" w:color="auto"/>
                <w:lang w:eastAsia="en-GB"/>
              </w:rPr>
              <w:t>30/</w:t>
            </w:r>
            <w:r w:rsidRPr="00922A9B">
              <w:rPr>
                <w:rFonts w:eastAsia="Times New Roman" w:cs="Times New Roman"/>
                <w:color w:val="auto"/>
                <w:sz w:val="16"/>
                <w:szCs w:val="16"/>
                <w:bdr w:val="none" w:sz="0" w:space="0" w:color="auto"/>
                <w:lang w:val="en-GB" w:eastAsia="en-GB"/>
              </w:rPr>
              <w:t>06/18</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5011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528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7D67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264 </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AE6B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3.849 </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2253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1.924 </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B93CA" w14:textId="77777777" w:rsidR="00B326C9" w:rsidRPr="004D45B0"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263</w:t>
            </w:r>
            <w:r w:rsidRPr="004D45B0">
              <w:rPr>
                <w:rFonts w:eastAsia="Times New Roman" w:cs="Times New Roman"/>
                <w:color w:val="auto"/>
                <w:sz w:val="16"/>
                <w:szCs w:val="16"/>
                <w:bdr w:val="none" w:sz="0" w:space="0" w:color="auto"/>
                <w:lang w:val="en-GB" w:eastAsia="en-GB"/>
              </w:rPr>
              <w:t xml:space="preserve"> </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1852C" w14:textId="77777777" w:rsidR="00B326C9" w:rsidRPr="004D45B0"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color w:val="auto"/>
                <w:sz w:val="16"/>
                <w:szCs w:val="16"/>
              </w:rPr>
              <w:t>99</w:t>
            </w:r>
            <w:r w:rsidRPr="004D45B0">
              <w:rPr>
                <w:color w:val="auto"/>
                <w:sz w:val="16"/>
                <w:szCs w:val="16"/>
              </w:rPr>
              <w:t>,</w:t>
            </w:r>
            <w:r>
              <w:rPr>
                <w:color w:val="auto"/>
                <w:sz w:val="16"/>
                <w:szCs w:val="16"/>
              </w:rPr>
              <w:t>8</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EECC3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1C3A29" w14:textId="77777777" w:rsidR="00B326C9" w:rsidRPr="004D45B0"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32F02">
              <w:rPr>
                <w:rFonts w:eastAsia="Times New Roman" w:cs="Times New Roman"/>
                <w:color w:val="auto"/>
                <w:sz w:val="16"/>
                <w:szCs w:val="16"/>
                <w:bdr w:val="none" w:sz="0" w:space="0" w:color="auto"/>
                <w:lang w:val="en-GB" w:eastAsia="en-GB"/>
              </w:rPr>
              <w:t xml:space="preserve">356 </w:t>
            </w:r>
          </w:p>
        </w:tc>
        <w:tc>
          <w:tcPr>
            <w:tcW w:w="199" w:type="pct"/>
            <w:gridSpan w:val="2"/>
            <w:tcBorders>
              <w:top w:val="single" w:sz="4" w:space="0" w:color="auto"/>
              <w:left w:val="single" w:sz="4" w:space="0" w:color="auto"/>
              <w:bottom w:val="single" w:sz="4" w:space="0" w:color="auto"/>
            </w:tcBorders>
            <w:shd w:val="clear" w:color="auto" w:fill="auto"/>
            <w:vAlign w:val="center"/>
            <w:hideMark/>
          </w:tcPr>
          <w:p w14:paraId="5AEFFFE0" w14:textId="77777777" w:rsidR="00B326C9" w:rsidRPr="004D45B0"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color w:val="auto"/>
                <w:sz w:val="16"/>
                <w:szCs w:val="16"/>
              </w:rPr>
              <w:t>100</w:t>
            </w:r>
          </w:p>
        </w:tc>
      </w:tr>
      <w:tr w:rsidR="00B326C9" w:rsidRPr="00922A9B" w14:paraId="0AC03733" w14:textId="77777777" w:rsidTr="00C56F61">
        <w:trPr>
          <w:trHeight w:val="921"/>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350D6B1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10</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D1F1A6"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2015-EU-TM-0310</w:t>
            </w:r>
          </w:p>
          <w:p w14:paraId="3730522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CCB51A"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ADRI-UP Miglioramento dei servizi </w:t>
            </w:r>
            <w:proofErr w:type="spellStart"/>
            <w:r w:rsidR="00420A1A">
              <w:rPr>
                <w:rFonts w:eastAsia="Times New Roman" w:cs="Times New Roman"/>
                <w:color w:val="auto"/>
                <w:sz w:val="16"/>
                <w:szCs w:val="16"/>
                <w:bdr w:val="none" w:sz="0" w:space="0" w:color="auto"/>
                <w:lang w:eastAsia="en-GB"/>
              </w:rPr>
              <w:t>AdM</w:t>
            </w:r>
            <w:proofErr w:type="spellEnd"/>
            <w:r w:rsidRPr="00310D3C">
              <w:rPr>
                <w:rFonts w:eastAsia="Times New Roman" w:cs="Times New Roman"/>
                <w:color w:val="auto"/>
                <w:sz w:val="16"/>
                <w:szCs w:val="16"/>
                <w:bdr w:val="none" w:sz="0" w:space="0" w:color="auto"/>
                <w:lang w:eastAsia="en-GB"/>
              </w:rPr>
              <w:t xml:space="preserve"> nell'Adriatico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F4C87D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20/12/20</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4952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 11.405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9F23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3.735 </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E496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22.725 </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1CB7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7.131 </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70A57"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972</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48659"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26,0</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E2B68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81741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3031</w:t>
            </w:r>
            <w:r w:rsidRPr="00922A9B">
              <w:rPr>
                <w:rFonts w:eastAsia="Times New Roman" w:cs="Times New Roman"/>
                <w:color w:val="auto"/>
                <w:sz w:val="16"/>
                <w:szCs w:val="16"/>
                <w:bdr w:val="none" w:sz="0" w:space="0" w:color="auto"/>
                <w:lang w:val="en-GB" w:eastAsia="en-GB"/>
              </w:rPr>
              <w:t xml:space="preserve"> </w:t>
            </w:r>
          </w:p>
        </w:tc>
        <w:tc>
          <w:tcPr>
            <w:tcW w:w="199" w:type="pct"/>
            <w:gridSpan w:val="2"/>
            <w:tcBorders>
              <w:top w:val="single" w:sz="4" w:space="0" w:color="auto"/>
              <w:left w:val="single" w:sz="4" w:space="0" w:color="auto"/>
              <w:bottom w:val="single" w:sz="4" w:space="0" w:color="auto"/>
            </w:tcBorders>
            <w:shd w:val="clear" w:color="auto" w:fill="auto"/>
            <w:vAlign w:val="center"/>
          </w:tcPr>
          <w:p w14:paraId="5E4EA942"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22</w:t>
            </w:r>
          </w:p>
        </w:tc>
      </w:tr>
      <w:tr w:rsidR="00B326C9" w:rsidRPr="00922A9B" w14:paraId="57737859" w14:textId="77777777" w:rsidTr="00C56F61">
        <w:trPr>
          <w:trHeight w:val="1388"/>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0B1265E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11</w:t>
            </w:r>
          </w:p>
        </w:tc>
        <w:tc>
          <w:tcPr>
            <w:tcW w:w="37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DB7E72"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2016-EU-TM-0342</w:t>
            </w:r>
          </w:p>
          <w:p w14:paraId="0E8EB21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5395B8"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proofErr w:type="spellStart"/>
            <w:r w:rsidRPr="00310D3C">
              <w:rPr>
                <w:rFonts w:eastAsia="Times New Roman" w:cs="Times New Roman"/>
                <w:color w:val="auto"/>
                <w:sz w:val="16"/>
                <w:szCs w:val="16"/>
                <w:bdr w:val="none" w:sz="0" w:space="0" w:color="auto"/>
                <w:lang w:eastAsia="en-GB"/>
              </w:rPr>
              <w:t>MoS</w:t>
            </w:r>
            <w:proofErr w:type="spellEnd"/>
            <w:r w:rsidRPr="00310D3C">
              <w:rPr>
                <w:rFonts w:eastAsia="Times New Roman" w:cs="Times New Roman"/>
                <w:color w:val="auto"/>
                <w:sz w:val="16"/>
                <w:szCs w:val="16"/>
                <w:bdr w:val="none" w:sz="0" w:space="0" w:color="auto"/>
                <w:lang w:eastAsia="en-GB"/>
              </w:rPr>
              <w:t xml:space="preserve"> Venezia-Patrasso: Sviluppo e riqualificazione del collega</w:t>
            </w:r>
            <w:r w:rsidR="00420A1A">
              <w:rPr>
                <w:rFonts w:eastAsia="Times New Roman" w:cs="Times New Roman"/>
                <w:color w:val="auto"/>
                <w:sz w:val="16"/>
                <w:szCs w:val="16"/>
                <w:bdr w:val="none" w:sz="0" w:space="0" w:color="auto"/>
                <w:lang w:eastAsia="en-GB"/>
              </w:rPr>
              <w:t>-</w:t>
            </w:r>
            <w:r w:rsidRPr="00310D3C">
              <w:rPr>
                <w:rFonts w:eastAsia="Times New Roman" w:cs="Times New Roman"/>
                <w:color w:val="auto"/>
                <w:sz w:val="16"/>
                <w:szCs w:val="16"/>
                <w:bdr w:val="none" w:sz="0" w:space="0" w:color="auto"/>
                <w:lang w:eastAsia="en-GB"/>
              </w:rPr>
              <w:t>mento</w:t>
            </w:r>
            <w:r w:rsidR="00420A1A">
              <w:rPr>
                <w:rFonts w:eastAsia="Times New Roman" w:cs="Times New Roman"/>
                <w:color w:val="auto"/>
                <w:sz w:val="16"/>
                <w:szCs w:val="16"/>
                <w:bdr w:val="none" w:sz="0" w:space="0" w:color="auto"/>
                <w:lang w:eastAsia="en-GB"/>
              </w:rPr>
              <w:t xml:space="preserve"> </w:t>
            </w:r>
            <w:proofErr w:type="spellStart"/>
            <w:r w:rsidR="00420A1A">
              <w:rPr>
                <w:rFonts w:eastAsia="Times New Roman" w:cs="Times New Roman"/>
                <w:color w:val="auto"/>
                <w:sz w:val="16"/>
                <w:szCs w:val="16"/>
                <w:bdr w:val="none" w:sz="0" w:space="0" w:color="auto"/>
                <w:lang w:eastAsia="en-GB"/>
              </w:rPr>
              <w:t>AdM</w:t>
            </w:r>
            <w:proofErr w:type="spellEnd"/>
            <w:r w:rsidRPr="00310D3C">
              <w:rPr>
                <w:rFonts w:eastAsia="Times New Roman" w:cs="Times New Roman"/>
                <w:color w:val="auto"/>
                <w:sz w:val="16"/>
                <w:szCs w:val="16"/>
                <w:bdr w:val="none" w:sz="0" w:space="0" w:color="auto"/>
                <w:lang w:eastAsia="en-GB"/>
              </w:rPr>
              <w:t xml:space="preserve"> Est-</w:t>
            </w:r>
            <w:proofErr w:type="spellStart"/>
            <w:proofErr w:type="gramStart"/>
            <w:r>
              <w:rPr>
                <w:rFonts w:eastAsia="Times New Roman" w:cs="Times New Roman"/>
                <w:color w:val="auto"/>
                <w:sz w:val="16"/>
                <w:szCs w:val="16"/>
                <w:bdr w:val="none" w:sz="0" w:space="0" w:color="auto"/>
                <w:lang w:eastAsia="en-GB"/>
              </w:rPr>
              <w:t>Med</w:t>
            </w:r>
            <w:proofErr w:type="spellEnd"/>
            <w:r>
              <w:rPr>
                <w:rFonts w:eastAsia="Times New Roman" w:cs="Times New Roman"/>
                <w:color w:val="auto"/>
                <w:sz w:val="16"/>
                <w:szCs w:val="16"/>
                <w:bdr w:val="none" w:sz="0" w:space="0" w:color="auto"/>
                <w:lang w:eastAsia="en-GB"/>
              </w:rPr>
              <w:t xml:space="preserve"> </w:t>
            </w:r>
            <w:r w:rsidRPr="00310D3C">
              <w:rPr>
                <w:rFonts w:eastAsia="Times New Roman" w:cs="Times New Roman"/>
                <w:color w:val="auto"/>
                <w:sz w:val="16"/>
                <w:szCs w:val="16"/>
                <w:bdr w:val="none" w:sz="0" w:space="0" w:color="auto"/>
                <w:lang w:eastAsia="en-GB"/>
              </w:rPr>
              <w:t xml:space="preserve"> Italia</w:t>
            </w:r>
            <w:proofErr w:type="gramEnd"/>
            <w:r w:rsidRPr="00310D3C">
              <w:rPr>
                <w:rFonts w:eastAsia="Times New Roman" w:cs="Times New Roman"/>
                <w:color w:val="auto"/>
                <w:sz w:val="16"/>
                <w:szCs w:val="16"/>
                <w:bdr w:val="none" w:sz="0" w:space="0" w:color="auto"/>
                <w:lang w:eastAsia="en-GB"/>
              </w:rPr>
              <w:t>-Grecia</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8A37A8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31/03/2</w:t>
            </w:r>
            <w:r>
              <w:rPr>
                <w:rFonts w:eastAsia="Times New Roman" w:cs="Times New Roman"/>
                <w:color w:val="auto"/>
                <w:sz w:val="16"/>
                <w:szCs w:val="16"/>
                <w:bdr w:val="none" w:sz="0" w:space="0" w:color="auto"/>
                <w:lang w:val="en-GB" w:eastAsia="en-GB"/>
              </w:rPr>
              <w:t>1</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F655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9.157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1A4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2.564 </w:t>
            </w:r>
          </w:p>
        </w:tc>
        <w:tc>
          <w:tcPr>
            <w:tcW w:w="487"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C841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10.047 </w:t>
            </w:r>
          </w:p>
        </w:tc>
        <w:tc>
          <w:tcPr>
            <w:tcW w:w="46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51C1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2.831 </w:t>
            </w:r>
          </w:p>
        </w:tc>
        <w:tc>
          <w:tcPr>
            <w:tcW w:w="43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4346A"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311</w:t>
            </w:r>
          </w:p>
        </w:tc>
        <w:tc>
          <w:tcPr>
            <w:tcW w:w="354"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BA2F9"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12,1</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F7E37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1C01CD">
              <w:rPr>
                <w:sz w:val="16"/>
                <w:szCs w:val="16"/>
              </w:rPr>
              <w:t xml:space="preserve">-  </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DEA1EC"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3.236</w:t>
            </w:r>
          </w:p>
        </w:tc>
        <w:tc>
          <w:tcPr>
            <w:tcW w:w="199" w:type="pct"/>
            <w:gridSpan w:val="2"/>
            <w:tcBorders>
              <w:top w:val="single" w:sz="4" w:space="0" w:color="auto"/>
              <w:left w:val="single" w:sz="4" w:space="0" w:color="auto"/>
              <w:bottom w:val="single" w:sz="4" w:space="0" w:color="auto"/>
            </w:tcBorders>
            <w:shd w:val="clear" w:color="auto" w:fill="auto"/>
            <w:vAlign w:val="center"/>
          </w:tcPr>
          <w:p w14:paraId="56F6DC6F"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33</w:t>
            </w:r>
          </w:p>
        </w:tc>
      </w:tr>
      <w:tr w:rsidR="00B326C9" w:rsidRPr="00922A9B" w14:paraId="2FC525A2" w14:textId="77777777" w:rsidTr="00C56F61">
        <w:trPr>
          <w:trHeight w:val="1296"/>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03DCC90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12</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4817B03C"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2017-EU-TM-0037</w:t>
            </w:r>
          </w:p>
          <w:p w14:paraId="4FD0C03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166AF6B1" w14:textId="77777777" w:rsidR="00B326C9" w:rsidRPr="00B70F83" w:rsidRDefault="00B326C9" w:rsidP="00420A1A">
            <w:pPr>
              <w:pBdr>
                <w:top w:val="none" w:sz="0" w:space="0" w:color="auto"/>
                <w:left w:val="none" w:sz="0" w:space="0" w:color="auto"/>
                <w:bottom w:val="none" w:sz="0" w:space="0" w:color="auto"/>
                <w:right w:val="none" w:sz="0" w:space="0" w:color="auto"/>
                <w:between w:val="none" w:sz="0" w:space="0" w:color="auto"/>
                <w:bar w:val="none" w:sz="0" w:color="auto"/>
              </w:pBdr>
              <w:ind w:left="-44" w:right="-95"/>
              <w:rPr>
                <w:rFonts w:eastAsia="Times New Roman" w:cs="Times New Roman"/>
                <w:color w:val="auto"/>
                <w:sz w:val="16"/>
                <w:szCs w:val="16"/>
                <w:bdr w:val="none" w:sz="0" w:space="0" w:color="auto"/>
                <w:lang w:eastAsia="en-GB"/>
              </w:rPr>
            </w:pPr>
            <w:proofErr w:type="spellStart"/>
            <w:r w:rsidRPr="00310D3C">
              <w:rPr>
                <w:rFonts w:eastAsia="Times New Roman" w:cs="Times New Roman"/>
                <w:color w:val="auto"/>
                <w:sz w:val="16"/>
                <w:szCs w:val="16"/>
                <w:bdr w:val="none" w:sz="0" w:space="0" w:color="auto"/>
                <w:lang w:eastAsia="en-GB"/>
              </w:rPr>
              <w:t>BClink</w:t>
            </w:r>
            <w:proofErr w:type="spellEnd"/>
            <w:r w:rsidRPr="00310D3C">
              <w:rPr>
                <w:rFonts w:eastAsia="Times New Roman" w:cs="Times New Roman"/>
                <w:color w:val="auto"/>
                <w:sz w:val="16"/>
                <w:szCs w:val="16"/>
                <w:bdr w:val="none" w:sz="0" w:space="0" w:color="auto"/>
                <w:lang w:eastAsia="en-GB"/>
              </w:rPr>
              <w:t xml:space="preserve">: </w:t>
            </w:r>
            <w:proofErr w:type="spellStart"/>
            <w:r w:rsidRPr="00310D3C">
              <w:rPr>
                <w:rFonts w:eastAsia="Times New Roman" w:cs="Times New Roman"/>
                <w:color w:val="auto"/>
                <w:sz w:val="16"/>
                <w:szCs w:val="16"/>
                <w:bdr w:val="none" w:sz="0" w:space="0" w:color="auto"/>
                <w:lang w:eastAsia="en-GB"/>
              </w:rPr>
              <w:t>MoS</w:t>
            </w:r>
            <w:proofErr w:type="spellEnd"/>
            <w:r w:rsidRPr="00310D3C">
              <w:rPr>
                <w:rFonts w:eastAsia="Times New Roman" w:cs="Times New Roman"/>
                <w:color w:val="auto"/>
                <w:sz w:val="16"/>
                <w:szCs w:val="16"/>
                <w:bdr w:val="none" w:sz="0" w:space="0" w:color="auto"/>
                <w:lang w:eastAsia="en-GB"/>
              </w:rPr>
              <w:t xml:space="preserve"> for the future</w:t>
            </w:r>
            <w:r w:rsidR="00420A1A">
              <w:rPr>
                <w:rFonts w:eastAsia="Times New Roman" w:cs="Times New Roman"/>
                <w:color w:val="auto"/>
                <w:sz w:val="16"/>
                <w:szCs w:val="16"/>
                <w:bdr w:val="none" w:sz="0" w:space="0" w:color="auto"/>
                <w:lang w:eastAsia="en-GB"/>
              </w:rPr>
              <w:t>:</w:t>
            </w:r>
            <w:r w:rsidRPr="00310D3C">
              <w:rPr>
                <w:rFonts w:eastAsia="Times New Roman" w:cs="Times New Roman"/>
                <w:color w:val="auto"/>
                <w:sz w:val="16"/>
                <w:szCs w:val="16"/>
                <w:bdr w:val="none" w:sz="0" w:space="0" w:color="auto"/>
                <w:lang w:eastAsia="en-GB"/>
              </w:rPr>
              <w:t xml:space="preserve"> </w:t>
            </w:r>
            <w:r w:rsidR="00420A1A">
              <w:rPr>
                <w:rFonts w:eastAsia="Times New Roman" w:cs="Times New Roman"/>
                <w:color w:val="auto"/>
                <w:sz w:val="16"/>
                <w:szCs w:val="16"/>
                <w:bdr w:val="none" w:sz="0" w:space="0" w:color="auto"/>
                <w:lang w:eastAsia="en-GB"/>
              </w:rPr>
              <w:t>Mi</w:t>
            </w:r>
            <w:r w:rsidRPr="00310D3C">
              <w:rPr>
                <w:rFonts w:eastAsia="Times New Roman" w:cs="Times New Roman"/>
                <w:color w:val="auto"/>
                <w:sz w:val="16"/>
                <w:szCs w:val="16"/>
                <w:bdr w:val="none" w:sz="0" w:space="0" w:color="auto"/>
                <w:lang w:eastAsia="en-GB"/>
              </w:rPr>
              <w:t xml:space="preserve">glioramento del </w:t>
            </w:r>
            <w:r w:rsidR="00420A1A">
              <w:rPr>
                <w:rFonts w:eastAsia="Times New Roman" w:cs="Times New Roman"/>
                <w:color w:val="auto"/>
                <w:sz w:val="16"/>
                <w:szCs w:val="16"/>
                <w:bdr w:val="none" w:sz="0" w:space="0" w:color="auto"/>
                <w:lang w:eastAsia="en-GB"/>
              </w:rPr>
              <w:t>c</w:t>
            </w:r>
            <w:r w:rsidRPr="00310D3C">
              <w:rPr>
                <w:rFonts w:eastAsia="Times New Roman" w:cs="Times New Roman"/>
                <w:color w:val="auto"/>
                <w:sz w:val="16"/>
                <w:szCs w:val="16"/>
                <w:bdr w:val="none" w:sz="0" w:space="0" w:color="auto"/>
                <w:lang w:eastAsia="en-GB"/>
              </w:rPr>
              <w:t xml:space="preserve">ollegamento tramite </w:t>
            </w:r>
            <w:proofErr w:type="spellStart"/>
            <w:r w:rsidR="00420A1A">
              <w:rPr>
                <w:rFonts w:eastAsia="Times New Roman" w:cs="Times New Roman"/>
                <w:color w:val="auto"/>
                <w:sz w:val="16"/>
                <w:szCs w:val="16"/>
                <w:bdr w:val="none" w:sz="0" w:space="0" w:color="auto"/>
                <w:lang w:eastAsia="en-GB"/>
              </w:rPr>
              <w:t>AdM</w:t>
            </w:r>
            <w:proofErr w:type="spellEnd"/>
            <w:r w:rsidRPr="00310D3C">
              <w:rPr>
                <w:rFonts w:eastAsia="Times New Roman" w:cs="Times New Roman"/>
                <w:color w:val="auto"/>
                <w:sz w:val="16"/>
                <w:szCs w:val="16"/>
                <w:bdr w:val="none" w:sz="0" w:space="0" w:color="auto"/>
                <w:lang w:eastAsia="en-GB"/>
              </w:rPr>
              <w:t xml:space="preserve"> tra Civitavecchia e Barcellona.</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2086AFA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31/12/21</w:t>
            </w:r>
          </w:p>
        </w:tc>
        <w:tc>
          <w:tcPr>
            <w:tcW w:w="392" w:type="pct"/>
            <w:gridSpan w:val="2"/>
            <w:tcBorders>
              <w:top w:val="single" w:sz="4" w:space="0" w:color="auto"/>
              <w:left w:val="nil"/>
              <w:bottom w:val="single" w:sz="4" w:space="0" w:color="auto"/>
              <w:right w:val="single" w:sz="4" w:space="0" w:color="auto"/>
            </w:tcBorders>
            <w:shd w:val="clear" w:color="auto" w:fill="auto"/>
            <w:noWrap/>
            <w:vAlign w:val="center"/>
            <w:hideMark/>
          </w:tcPr>
          <w:p w14:paraId="6A0E75B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7.383 </w:t>
            </w:r>
          </w:p>
        </w:tc>
        <w:tc>
          <w:tcPr>
            <w:tcW w:w="522" w:type="pct"/>
            <w:gridSpan w:val="4"/>
            <w:tcBorders>
              <w:top w:val="single" w:sz="4" w:space="0" w:color="auto"/>
              <w:left w:val="nil"/>
              <w:bottom w:val="single" w:sz="4" w:space="0" w:color="auto"/>
              <w:right w:val="single" w:sz="4" w:space="0" w:color="auto"/>
            </w:tcBorders>
            <w:shd w:val="clear" w:color="auto" w:fill="auto"/>
            <w:noWrap/>
            <w:vAlign w:val="center"/>
            <w:hideMark/>
          </w:tcPr>
          <w:p w14:paraId="47C6963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2.200 </w:t>
            </w:r>
          </w:p>
        </w:tc>
        <w:tc>
          <w:tcPr>
            <w:tcW w:w="487" w:type="pct"/>
            <w:gridSpan w:val="4"/>
            <w:tcBorders>
              <w:top w:val="single" w:sz="4" w:space="0" w:color="auto"/>
              <w:left w:val="nil"/>
              <w:bottom w:val="single" w:sz="4" w:space="0" w:color="auto"/>
              <w:right w:val="single" w:sz="4" w:space="0" w:color="auto"/>
            </w:tcBorders>
            <w:shd w:val="clear" w:color="auto" w:fill="auto"/>
            <w:noWrap/>
            <w:vAlign w:val="center"/>
            <w:hideMark/>
          </w:tcPr>
          <w:p w14:paraId="287E9B2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21.543 </w:t>
            </w:r>
          </w:p>
        </w:tc>
        <w:tc>
          <w:tcPr>
            <w:tcW w:w="462" w:type="pct"/>
            <w:gridSpan w:val="4"/>
            <w:tcBorders>
              <w:top w:val="single" w:sz="4" w:space="0" w:color="auto"/>
              <w:left w:val="nil"/>
              <w:bottom w:val="single" w:sz="4" w:space="0" w:color="auto"/>
              <w:right w:val="single" w:sz="4" w:space="0" w:color="auto"/>
            </w:tcBorders>
            <w:shd w:val="clear" w:color="auto" w:fill="auto"/>
            <w:noWrap/>
            <w:vAlign w:val="center"/>
            <w:hideMark/>
          </w:tcPr>
          <w:p w14:paraId="1C13A7E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4.339 </w:t>
            </w:r>
          </w:p>
        </w:tc>
        <w:tc>
          <w:tcPr>
            <w:tcW w:w="436" w:type="pct"/>
            <w:gridSpan w:val="4"/>
            <w:tcBorders>
              <w:top w:val="single" w:sz="4" w:space="0" w:color="auto"/>
              <w:left w:val="nil"/>
              <w:bottom w:val="single" w:sz="4" w:space="0" w:color="auto"/>
              <w:right w:val="single" w:sz="4" w:space="0" w:color="auto"/>
            </w:tcBorders>
            <w:shd w:val="clear" w:color="auto" w:fill="auto"/>
            <w:noWrap/>
            <w:vAlign w:val="center"/>
          </w:tcPr>
          <w:p w14:paraId="391BFB64"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833</w:t>
            </w:r>
          </w:p>
        </w:tc>
        <w:tc>
          <w:tcPr>
            <w:tcW w:w="354" w:type="pct"/>
            <w:gridSpan w:val="4"/>
            <w:tcBorders>
              <w:top w:val="single" w:sz="4" w:space="0" w:color="auto"/>
              <w:left w:val="nil"/>
              <w:bottom w:val="single" w:sz="4" w:space="0" w:color="auto"/>
              <w:right w:val="single" w:sz="4" w:space="0" w:color="auto"/>
            </w:tcBorders>
            <w:shd w:val="clear" w:color="auto" w:fill="auto"/>
            <w:noWrap/>
            <w:vAlign w:val="center"/>
          </w:tcPr>
          <w:p w14:paraId="0187FBF5"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37,9</w:t>
            </w:r>
          </w:p>
        </w:tc>
        <w:tc>
          <w:tcPr>
            <w:tcW w:w="273" w:type="pct"/>
            <w:gridSpan w:val="3"/>
            <w:tcBorders>
              <w:top w:val="single" w:sz="4" w:space="0" w:color="auto"/>
              <w:left w:val="nil"/>
              <w:bottom w:val="single" w:sz="4" w:space="0" w:color="auto"/>
              <w:right w:val="single" w:sz="4" w:space="0" w:color="auto"/>
            </w:tcBorders>
            <w:shd w:val="clear" w:color="auto" w:fill="auto"/>
            <w:vAlign w:val="center"/>
          </w:tcPr>
          <w:p w14:paraId="58D9843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1C01CD">
              <w:rPr>
                <w:sz w:val="16"/>
                <w:szCs w:val="16"/>
              </w:rPr>
              <w:t xml:space="preserve">-  </w:t>
            </w:r>
          </w:p>
        </w:tc>
        <w:tc>
          <w:tcPr>
            <w:tcW w:w="467" w:type="pct"/>
            <w:gridSpan w:val="3"/>
            <w:tcBorders>
              <w:top w:val="single" w:sz="4" w:space="0" w:color="auto"/>
              <w:left w:val="nil"/>
              <w:bottom w:val="single" w:sz="4" w:space="0" w:color="auto"/>
              <w:right w:val="single" w:sz="4" w:space="0" w:color="auto"/>
            </w:tcBorders>
            <w:shd w:val="clear" w:color="auto" w:fill="auto"/>
            <w:vAlign w:val="center"/>
          </w:tcPr>
          <w:p w14:paraId="2BB17A16"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r>
              <w:rPr>
                <w:rFonts w:eastAsia="Times New Roman" w:cs="Times New Roman"/>
                <w:color w:val="auto"/>
                <w:sz w:val="16"/>
                <w:szCs w:val="16"/>
                <w:bdr w:val="none" w:sz="0" w:space="0" w:color="auto"/>
                <w:lang w:val="en-GB" w:eastAsia="en-GB"/>
              </w:rPr>
              <w:t>45</w:t>
            </w:r>
            <w:r w:rsidRPr="00922A9B">
              <w:rPr>
                <w:rFonts w:eastAsia="Times New Roman" w:cs="Times New Roman"/>
                <w:color w:val="auto"/>
                <w:sz w:val="16"/>
                <w:szCs w:val="16"/>
                <w:bdr w:val="none" w:sz="0" w:space="0" w:color="auto"/>
                <w:lang w:val="en-GB" w:eastAsia="en-GB"/>
              </w:rPr>
              <w:t xml:space="preserve"> </w:t>
            </w:r>
          </w:p>
        </w:tc>
        <w:tc>
          <w:tcPr>
            <w:tcW w:w="199" w:type="pct"/>
            <w:gridSpan w:val="2"/>
            <w:tcBorders>
              <w:top w:val="single" w:sz="4" w:space="0" w:color="auto"/>
              <w:left w:val="nil"/>
              <w:bottom w:val="single" w:sz="4" w:space="0" w:color="auto"/>
            </w:tcBorders>
            <w:shd w:val="clear" w:color="auto" w:fill="auto"/>
            <w:vAlign w:val="center"/>
          </w:tcPr>
          <w:p w14:paraId="52A56FF7" w14:textId="77777777" w:rsidR="00B326C9" w:rsidRPr="00922A9B" w:rsidRDefault="00E03ADD" w:rsidP="00002E17">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1</w:t>
            </w:r>
          </w:p>
        </w:tc>
      </w:tr>
      <w:tr w:rsidR="00B326C9" w:rsidRPr="00922A9B" w14:paraId="067757ED"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hideMark/>
          </w:tcPr>
          <w:p w14:paraId="3941759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13</w:t>
            </w:r>
          </w:p>
        </w:tc>
        <w:tc>
          <w:tcPr>
            <w:tcW w:w="371" w:type="pct"/>
            <w:gridSpan w:val="2"/>
            <w:tcBorders>
              <w:top w:val="nil"/>
              <w:left w:val="nil"/>
              <w:bottom w:val="single" w:sz="4" w:space="0" w:color="auto"/>
              <w:right w:val="single" w:sz="4" w:space="0" w:color="auto"/>
            </w:tcBorders>
            <w:shd w:val="clear" w:color="auto" w:fill="auto"/>
            <w:vAlign w:val="center"/>
            <w:hideMark/>
          </w:tcPr>
          <w:p w14:paraId="1F491579"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2017-IT-TM-0044</w:t>
            </w:r>
          </w:p>
          <w:p w14:paraId="51C980D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3A60E005"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Ravenna Port Hub: lavori di miglioramento infrastrutturale nel Porto di Ravenna.</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317EFBD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31/12/23</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6F8FCFF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186.885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7B29989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37.377 </w:t>
            </w:r>
          </w:p>
        </w:tc>
        <w:tc>
          <w:tcPr>
            <w:tcW w:w="487" w:type="pct"/>
            <w:gridSpan w:val="4"/>
            <w:tcBorders>
              <w:top w:val="nil"/>
              <w:left w:val="nil"/>
              <w:bottom w:val="single" w:sz="4" w:space="0" w:color="auto"/>
              <w:right w:val="single" w:sz="4" w:space="0" w:color="auto"/>
            </w:tcBorders>
            <w:shd w:val="clear" w:color="auto" w:fill="auto"/>
            <w:noWrap/>
            <w:vAlign w:val="center"/>
            <w:hideMark/>
          </w:tcPr>
          <w:p w14:paraId="05D071E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186.885 </w:t>
            </w:r>
          </w:p>
        </w:tc>
        <w:tc>
          <w:tcPr>
            <w:tcW w:w="462" w:type="pct"/>
            <w:gridSpan w:val="4"/>
            <w:tcBorders>
              <w:top w:val="nil"/>
              <w:left w:val="nil"/>
              <w:bottom w:val="single" w:sz="4" w:space="0" w:color="auto"/>
              <w:right w:val="single" w:sz="4" w:space="0" w:color="auto"/>
            </w:tcBorders>
            <w:shd w:val="clear" w:color="auto" w:fill="auto"/>
            <w:noWrap/>
            <w:vAlign w:val="center"/>
            <w:hideMark/>
          </w:tcPr>
          <w:p w14:paraId="28AEDE5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37.377 </w:t>
            </w:r>
          </w:p>
        </w:tc>
        <w:tc>
          <w:tcPr>
            <w:tcW w:w="436" w:type="pct"/>
            <w:gridSpan w:val="4"/>
            <w:tcBorders>
              <w:top w:val="nil"/>
              <w:left w:val="nil"/>
              <w:bottom w:val="single" w:sz="4" w:space="0" w:color="auto"/>
              <w:right w:val="single" w:sz="4" w:space="0" w:color="auto"/>
            </w:tcBorders>
            <w:shd w:val="clear" w:color="auto" w:fill="auto"/>
            <w:noWrap/>
            <w:vAlign w:val="center"/>
            <w:hideMark/>
          </w:tcPr>
          <w:p w14:paraId="5795BD7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184 </w:t>
            </w:r>
          </w:p>
        </w:tc>
        <w:tc>
          <w:tcPr>
            <w:tcW w:w="354" w:type="pct"/>
            <w:gridSpan w:val="4"/>
            <w:tcBorders>
              <w:top w:val="nil"/>
              <w:left w:val="nil"/>
              <w:bottom w:val="single" w:sz="4" w:space="0" w:color="auto"/>
              <w:right w:val="single" w:sz="4" w:space="0" w:color="auto"/>
            </w:tcBorders>
            <w:shd w:val="clear" w:color="auto" w:fill="auto"/>
            <w:noWrap/>
            <w:vAlign w:val="center"/>
            <w:hideMark/>
          </w:tcPr>
          <w:p w14:paraId="2692B86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0,5</w:t>
            </w:r>
          </w:p>
        </w:tc>
        <w:tc>
          <w:tcPr>
            <w:tcW w:w="273" w:type="pct"/>
            <w:gridSpan w:val="3"/>
            <w:tcBorders>
              <w:top w:val="nil"/>
              <w:left w:val="nil"/>
              <w:bottom w:val="single" w:sz="4" w:space="0" w:color="auto"/>
              <w:right w:val="single" w:sz="4" w:space="0" w:color="auto"/>
            </w:tcBorders>
            <w:shd w:val="clear" w:color="auto" w:fill="auto"/>
            <w:vAlign w:val="center"/>
          </w:tcPr>
          <w:p w14:paraId="65BA15E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1C01CD">
              <w:rPr>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hideMark/>
          </w:tcPr>
          <w:p w14:paraId="2EE6EC67"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80</w:t>
            </w:r>
          </w:p>
        </w:tc>
        <w:tc>
          <w:tcPr>
            <w:tcW w:w="199" w:type="pct"/>
            <w:gridSpan w:val="2"/>
            <w:tcBorders>
              <w:top w:val="nil"/>
              <w:left w:val="nil"/>
              <w:bottom w:val="single" w:sz="4" w:space="0" w:color="auto"/>
            </w:tcBorders>
            <w:shd w:val="clear" w:color="auto" w:fill="auto"/>
            <w:vAlign w:val="center"/>
            <w:hideMark/>
          </w:tcPr>
          <w:p w14:paraId="6C07E8B5"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0</w:t>
            </w:r>
          </w:p>
        </w:tc>
      </w:tr>
      <w:tr w:rsidR="00B326C9" w:rsidRPr="00922A9B" w14:paraId="4AA5D98F"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hideMark/>
          </w:tcPr>
          <w:p w14:paraId="2B74CF6E"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1</w:t>
            </w:r>
            <w:r>
              <w:rPr>
                <w:rFonts w:eastAsia="Times New Roman" w:cs="Times New Roman"/>
                <w:color w:val="auto"/>
                <w:sz w:val="16"/>
                <w:szCs w:val="16"/>
                <w:bdr w:val="none" w:sz="0" w:space="0" w:color="auto"/>
                <w:lang w:eastAsia="en-GB"/>
              </w:rPr>
              <w:t>4</w:t>
            </w:r>
          </w:p>
        </w:tc>
        <w:tc>
          <w:tcPr>
            <w:tcW w:w="371" w:type="pct"/>
            <w:gridSpan w:val="2"/>
            <w:tcBorders>
              <w:top w:val="nil"/>
              <w:left w:val="nil"/>
              <w:bottom w:val="single" w:sz="4" w:space="0" w:color="auto"/>
              <w:right w:val="single" w:sz="4" w:space="0" w:color="auto"/>
            </w:tcBorders>
            <w:shd w:val="clear" w:color="auto" w:fill="auto"/>
            <w:vAlign w:val="center"/>
            <w:hideMark/>
          </w:tcPr>
          <w:p w14:paraId="3B466882"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2017-IT-TM-0092</w:t>
            </w:r>
          </w:p>
          <w:p w14:paraId="172409E3"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-W</w:t>
            </w:r>
          </w:p>
        </w:tc>
        <w:tc>
          <w:tcPr>
            <w:tcW w:w="587" w:type="pct"/>
            <w:gridSpan w:val="2"/>
            <w:tcBorders>
              <w:top w:val="nil"/>
              <w:left w:val="nil"/>
              <w:bottom w:val="single" w:sz="4" w:space="0" w:color="auto"/>
              <w:right w:val="single" w:sz="4" w:space="0" w:color="auto"/>
            </w:tcBorders>
            <w:shd w:val="clear" w:color="auto" w:fill="auto"/>
            <w:vAlign w:val="center"/>
            <w:hideMark/>
          </w:tcPr>
          <w:p w14:paraId="5C9C07F4" w14:textId="77777777" w:rsidR="00B326C9" w:rsidRPr="00B70F83" w:rsidRDefault="00B326C9" w:rsidP="00420A1A">
            <w:pPr>
              <w:pBdr>
                <w:top w:val="none" w:sz="0" w:space="0" w:color="auto"/>
                <w:left w:val="none" w:sz="0" w:space="0" w:color="auto"/>
                <w:bottom w:val="none" w:sz="0" w:space="0" w:color="auto"/>
                <w:right w:val="none" w:sz="0" w:space="0" w:color="auto"/>
                <w:between w:val="none" w:sz="0" w:space="0" w:color="auto"/>
                <w:bar w:val="none" w:sz="0" w:color="auto"/>
              </w:pBdr>
              <w:ind w:left="-44" w:right="-95"/>
              <w:rPr>
                <w:rFonts w:eastAsia="Times New Roman" w:cs="Times New Roman"/>
                <w:color w:val="auto"/>
                <w:sz w:val="16"/>
                <w:szCs w:val="16"/>
                <w:bdr w:val="none" w:sz="0" w:space="0" w:color="auto"/>
                <w:lang w:eastAsia="en-GB"/>
              </w:rPr>
            </w:pPr>
            <w:proofErr w:type="spellStart"/>
            <w:r w:rsidRPr="00310D3C">
              <w:rPr>
                <w:rFonts w:eastAsia="Times New Roman" w:cs="Times New Roman"/>
                <w:color w:val="auto"/>
                <w:sz w:val="16"/>
                <w:szCs w:val="16"/>
                <w:bdr w:val="none" w:sz="0" w:space="0" w:color="auto"/>
                <w:lang w:eastAsia="en-GB"/>
              </w:rPr>
              <w:t>TriesteRailPort</w:t>
            </w:r>
            <w:proofErr w:type="spellEnd"/>
            <w:r w:rsidRPr="00310D3C">
              <w:rPr>
                <w:rFonts w:eastAsia="Times New Roman" w:cs="Times New Roman"/>
                <w:color w:val="auto"/>
                <w:sz w:val="16"/>
                <w:szCs w:val="16"/>
                <w:bdr w:val="none" w:sz="0" w:space="0" w:color="auto"/>
                <w:lang w:eastAsia="en-GB"/>
              </w:rPr>
              <w:t xml:space="preserve"> </w:t>
            </w:r>
            <w:proofErr w:type="gramStart"/>
            <w:r w:rsidRPr="00310D3C">
              <w:rPr>
                <w:rFonts w:eastAsia="Times New Roman" w:cs="Times New Roman"/>
                <w:color w:val="auto"/>
                <w:sz w:val="16"/>
                <w:szCs w:val="16"/>
                <w:bdr w:val="none" w:sz="0" w:space="0" w:color="auto"/>
                <w:lang w:eastAsia="en-GB"/>
              </w:rPr>
              <w:t>-  Lavori</w:t>
            </w:r>
            <w:proofErr w:type="gramEnd"/>
            <w:r w:rsidRPr="00310D3C">
              <w:rPr>
                <w:rFonts w:eastAsia="Times New Roman" w:cs="Times New Roman"/>
                <w:color w:val="auto"/>
                <w:sz w:val="16"/>
                <w:szCs w:val="16"/>
                <w:bdr w:val="none" w:sz="0" w:space="0" w:color="auto"/>
                <w:lang w:eastAsia="en-GB"/>
              </w:rPr>
              <w:t xml:space="preserve"> di miglioramento dell'infrastruttura ferroviaria nel porto di Trieste</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68EA0836"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31/12/23</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7549E105"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32.700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2E4A821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6.540 </w:t>
            </w:r>
          </w:p>
        </w:tc>
        <w:tc>
          <w:tcPr>
            <w:tcW w:w="487" w:type="pct"/>
            <w:gridSpan w:val="4"/>
            <w:tcBorders>
              <w:top w:val="nil"/>
              <w:left w:val="nil"/>
              <w:bottom w:val="single" w:sz="4" w:space="0" w:color="auto"/>
              <w:right w:val="single" w:sz="4" w:space="0" w:color="auto"/>
            </w:tcBorders>
            <w:shd w:val="clear" w:color="auto" w:fill="auto"/>
            <w:noWrap/>
            <w:vAlign w:val="center"/>
            <w:hideMark/>
          </w:tcPr>
          <w:p w14:paraId="7B6E71C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32.700 </w:t>
            </w:r>
          </w:p>
        </w:tc>
        <w:tc>
          <w:tcPr>
            <w:tcW w:w="462" w:type="pct"/>
            <w:gridSpan w:val="4"/>
            <w:tcBorders>
              <w:top w:val="nil"/>
              <w:left w:val="nil"/>
              <w:bottom w:val="single" w:sz="4" w:space="0" w:color="auto"/>
              <w:right w:val="single" w:sz="4" w:space="0" w:color="auto"/>
            </w:tcBorders>
            <w:shd w:val="clear" w:color="auto" w:fill="auto"/>
            <w:noWrap/>
            <w:vAlign w:val="center"/>
            <w:hideMark/>
          </w:tcPr>
          <w:p w14:paraId="570F673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 xml:space="preserve">6.540 </w:t>
            </w:r>
          </w:p>
        </w:tc>
        <w:tc>
          <w:tcPr>
            <w:tcW w:w="436" w:type="pct"/>
            <w:gridSpan w:val="4"/>
            <w:tcBorders>
              <w:top w:val="nil"/>
              <w:left w:val="nil"/>
              <w:bottom w:val="single" w:sz="4" w:space="0" w:color="auto"/>
              <w:right w:val="single" w:sz="4" w:space="0" w:color="auto"/>
            </w:tcBorders>
            <w:shd w:val="clear" w:color="auto" w:fill="auto"/>
            <w:noWrap/>
            <w:vAlign w:val="center"/>
          </w:tcPr>
          <w:p w14:paraId="04F84C88" w14:textId="77777777" w:rsidR="00B326C9" w:rsidRPr="00922A9B"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5</w:t>
            </w:r>
          </w:p>
        </w:tc>
        <w:tc>
          <w:tcPr>
            <w:tcW w:w="354" w:type="pct"/>
            <w:gridSpan w:val="4"/>
            <w:tcBorders>
              <w:top w:val="nil"/>
              <w:left w:val="nil"/>
              <w:bottom w:val="single" w:sz="4" w:space="0" w:color="auto"/>
              <w:right w:val="single" w:sz="4" w:space="0" w:color="auto"/>
            </w:tcBorders>
            <w:shd w:val="clear" w:color="auto" w:fill="auto"/>
            <w:noWrap/>
            <w:vAlign w:val="center"/>
          </w:tcPr>
          <w:p w14:paraId="449CA7D1" w14:textId="77777777" w:rsidR="00B326C9" w:rsidRPr="00310D3C"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cs="Times New Roman"/>
                <w:color w:val="auto"/>
                <w:sz w:val="16"/>
                <w:szCs w:val="16"/>
                <w:bdr w:val="none" w:sz="0" w:space="0" w:color="auto"/>
                <w:lang w:val="en-GB" w:eastAsia="en-GB"/>
              </w:rPr>
            </w:pPr>
            <w:r>
              <w:rPr>
                <w:sz w:val="16"/>
                <w:szCs w:val="16"/>
              </w:rPr>
              <w:t>0,1</w:t>
            </w:r>
          </w:p>
        </w:tc>
        <w:tc>
          <w:tcPr>
            <w:tcW w:w="273" w:type="pct"/>
            <w:gridSpan w:val="3"/>
            <w:tcBorders>
              <w:top w:val="nil"/>
              <w:left w:val="nil"/>
              <w:bottom w:val="single" w:sz="4" w:space="0" w:color="auto"/>
              <w:right w:val="single" w:sz="4" w:space="0" w:color="auto"/>
            </w:tcBorders>
            <w:shd w:val="clear" w:color="auto" w:fill="auto"/>
            <w:vAlign w:val="center"/>
          </w:tcPr>
          <w:p w14:paraId="48DECF6C" w14:textId="77777777" w:rsidR="00B326C9" w:rsidRPr="00310D3C"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tcPr>
          <w:p w14:paraId="26C83B8D" w14:textId="77777777" w:rsidR="00B326C9" w:rsidRPr="00310D3C" w:rsidRDefault="00B326C9"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56</w:t>
            </w:r>
          </w:p>
        </w:tc>
        <w:tc>
          <w:tcPr>
            <w:tcW w:w="199" w:type="pct"/>
            <w:gridSpan w:val="2"/>
            <w:tcBorders>
              <w:top w:val="nil"/>
              <w:left w:val="nil"/>
              <w:bottom w:val="single" w:sz="4" w:space="0" w:color="auto"/>
            </w:tcBorders>
            <w:shd w:val="clear" w:color="auto" w:fill="auto"/>
            <w:vAlign w:val="center"/>
          </w:tcPr>
          <w:p w14:paraId="6AA1577A" w14:textId="77777777" w:rsidR="00B326C9" w:rsidRPr="00310D3C" w:rsidRDefault="00E03ADD" w:rsidP="00002E17">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rFonts w:eastAsia="Times New Roman" w:cs="Times New Roman"/>
                <w:color w:val="auto"/>
                <w:sz w:val="16"/>
                <w:szCs w:val="16"/>
                <w:bdr w:val="none" w:sz="0" w:space="0" w:color="auto"/>
                <w:lang w:val="en-GB" w:eastAsia="en-GB"/>
              </w:rPr>
            </w:pPr>
            <w:r>
              <w:rPr>
                <w:sz w:val="16"/>
                <w:szCs w:val="16"/>
              </w:rPr>
              <w:t>0</w:t>
            </w:r>
          </w:p>
        </w:tc>
      </w:tr>
      <w:tr w:rsidR="00B326C9" w:rsidRPr="00922A9B" w14:paraId="17F9F24D"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tcPr>
          <w:p w14:paraId="57980E8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p>
          <w:p w14:paraId="7F731B9F"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15</w:t>
            </w:r>
          </w:p>
        </w:tc>
        <w:tc>
          <w:tcPr>
            <w:tcW w:w="371" w:type="pct"/>
            <w:gridSpan w:val="2"/>
            <w:tcBorders>
              <w:top w:val="nil"/>
              <w:left w:val="nil"/>
              <w:bottom w:val="single" w:sz="4" w:space="0" w:color="auto"/>
              <w:right w:val="single" w:sz="4" w:space="0" w:color="auto"/>
            </w:tcBorders>
            <w:shd w:val="clear" w:color="auto" w:fill="auto"/>
            <w:vAlign w:val="center"/>
          </w:tcPr>
          <w:p w14:paraId="7DF7B23F" w14:textId="77777777" w:rsidR="00B326C9" w:rsidRPr="00310D3C" w:rsidRDefault="00B326C9" w:rsidP="00550F6D">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2018-EU-TM</w:t>
            </w:r>
            <w:r w:rsidR="00420A1A">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0117</w:t>
            </w:r>
            <w:r w:rsidR="00C0186D">
              <w:rPr>
                <w:rFonts w:eastAsia="Times New Roman" w:cs="Times New Roman"/>
                <w:color w:val="auto"/>
                <w:sz w:val="16"/>
                <w:szCs w:val="16"/>
                <w:bdr w:val="none" w:sz="0" w:space="0" w:color="auto"/>
                <w:lang w:eastAsia="en-GB"/>
              </w:rPr>
              <w:t xml:space="preserve">   </w:t>
            </w:r>
            <w:r w:rsidR="00420A1A">
              <w:rPr>
                <w:rFonts w:eastAsia="Times New Roman" w:cs="Times New Roman"/>
                <w:color w:val="auto"/>
                <w:sz w:val="16"/>
                <w:szCs w:val="16"/>
                <w:bdr w:val="none" w:sz="0" w:space="0" w:color="auto"/>
                <w:lang w:eastAsia="en-GB"/>
              </w:rPr>
              <w:t>-</w:t>
            </w:r>
            <w:r>
              <w:rPr>
                <w:rFonts w:eastAsia="Times New Roman" w:cs="Times New Roman"/>
                <w:color w:val="auto"/>
                <w:sz w:val="16"/>
                <w:szCs w:val="16"/>
                <w:bdr w:val="none" w:sz="0" w:space="0" w:color="auto"/>
                <w:lang w:eastAsia="en-GB"/>
              </w:rPr>
              <w:t>S</w:t>
            </w:r>
          </w:p>
        </w:tc>
        <w:tc>
          <w:tcPr>
            <w:tcW w:w="587" w:type="pct"/>
            <w:gridSpan w:val="2"/>
            <w:tcBorders>
              <w:top w:val="nil"/>
              <w:left w:val="nil"/>
              <w:bottom w:val="single" w:sz="4" w:space="0" w:color="auto"/>
              <w:right w:val="single" w:sz="4" w:space="0" w:color="auto"/>
            </w:tcBorders>
            <w:shd w:val="clear" w:color="auto" w:fill="auto"/>
            <w:vAlign w:val="center"/>
          </w:tcPr>
          <w:p w14:paraId="227E1519"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GREEN CPORTS - Identificazione di soluzioni intelligenti ed innovative per la sostenibilità ambientale nei porti</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tcPr>
          <w:p w14:paraId="59FC1D72"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29/12/23</w:t>
            </w:r>
          </w:p>
        </w:tc>
        <w:tc>
          <w:tcPr>
            <w:tcW w:w="392" w:type="pct"/>
            <w:gridSpan w:val="2"/>
            <w:tcBorders>
              <w:top w:val="nil"/>
              <w:left w:val="nil"/>
              <w:bottom w:val="single" w:sz="4" w:space="0" w:color="auto"/>
              <w:right w:val="single" w:sz="4" w:space="0" w:color="auto"/>
            </w:tcBorders>
            <w:shd w:val="clear" w:color="auto" w:fill="auto"/>
            <w:noWrap/>
            <w:vAlign w:val="center"/>
          </w:tcPr>
          <w:p w14:paraId="3802958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618</w:t>
            </w:r>
          </w:p>
        </w:tc>
        <w:tc>
          <w:tcPr>
            <w:tcW w:w="522" w:type="pct"/>
            <w:gridSpan w:val="4"/>
            <w:tcBorders>
              <w:top w:val="nil"/>
              <w:left w:val="nil"/>
              <w:bottom w:val="single" w:sz="4" w:space="0" w:color="auto"/>
              <w:right w:val="single" w:sz="4" w:space="0" w:color="auto"/>
            </w:tcBorders>
            <w:shd w:val="clear" w:color="auto" w:fill="auto"/>
            <w:noWrap/>
            <w:vAlign w:val="center"/>
          </w:tcPr>
          <w:p w14:paraId="563014B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309</w:t>
            </w:r>
          </w:p>
        </w:tc>
        <w:tc>
          <w:tcPr>
            <w:tcW w:w="487" w:type="pct"/>
            <w:gridSpan w:val="4"/>
            <w:tcBorders>
              <w:top w:val="nil"/>
              <w:left w:val="nil"/>
              <w:bottom w:val="single" w:sz="4" w:space="0" w:color="auto"/>
              <w:right w:val="single" w:sz="4" w:space="0" w:color="auto"/>
            </w:tcBorders>
            <w:shd w:val="clear" w:color="auto" w:fill="auto"/>
            <w:noWrap/>
            <w:vAlign w:val="center"/>
          </w:tcPr>
          <w:p w14:paraId="0D97B02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7.176</w:t>
            </w:r>
          </w:p>
        </w:tc>
        <w:tc>
          <w:tcPr>
            <w:tcW w:w="462" w:type="pct"/>
            <w:gridSpan w:val="4"/>
            <w:tcBorders>
              <w:top w:val="nil"/>
              <w:left w:val="nil"/>
              <w:bottom w:val="single" w:sz="4" w:space="0" w:color="auto"/>
              <w:right w:val="single" w:sz="4" w:space="0" w:color="auto"/>
            </w:tcBorders>
            <w:shd w:val="clear" w:color="auto" w:fill="auto"/>
            <w:noWrap/>
            <w:vAlign w:val="center"/>
          </w:tcPr>
          <w:p w14:paraId="0F4DDC2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3.578</w:t>
            </w:r>
          </w:p>
        </w:tc>
        <w:tc>
          <w:tcPr>
            <w:tcW w:w="436" w:type="pct"/>
            <w:gridSpan w:val="4"/>
            <w:tcBorders>
              <w:top w:val="nil"/>
              <w:left w:val="nil"/>
              <w:bottom w:val="single" w:sz="4" w:space="0" w:color="auto"/>
              <w:right w:val="single" w:sz="4" w:space="0" w:color="auto"/>
            </w:tcBorders>
            <w:shd w:val="clear" w:color="auto" w:fill="auto"/>
            <w:noWrap/>
            <w:vAlign w:val="center"/>
          </w:tcPr>
          <w:p w14:paraId="3903940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58</w:t>
            </w:r>
          </w:p>
        </w:tc>
        <w:tc>
          <w:tcPr>
            <w:tcW w:w="354" w:type="pct"/>
            <w:gridSpan w:val="4"/>
            <w:tcBorders>
              <w:top w:val="nil"/>
              <w:left w:val="nil"/>
              <w:bottom w:val="single" w:sz="4" w:space="0" w:color="auto"/>
              <w:right w:val="single" w:sz="4" w:space="0" w:color="auto"/>
            </w:tcBorders>
            <w:shd w:val="clear" w:color="auto" w:fill="auto"/>
            <w:noWrap/>
            <w:vAlign w:val="center"/>
          </w:tcPr>
          <w:p w14:paraId="59533599"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sz w:val="16"/>
                <w:szCs w:val="16"/>
              </w:rPr>
            </w:pPr>
            <w:r>
              <w:rPr>
                <w:sz w:val="16"/>
                <w:szCs w:val="16"/>
              </w:rPr>
              <w:t>18,8</w:t>
            </w:r>
          </w:p>
        </w:tc>
        <w:tc>
          <w:tcPr>
            <w:tcW w:w="273" w:type="pct"/>
            <w:gridSpan w:val="3"/>
            <w:tcBorders>
              <w:top w:val="nil"/>
              <w:left w:val="nil"/>
              <w:bottom w:val="single" w:sz="4" w:space="0" w:color="auto"/>
              <w:right w:val="single" w:sz="4" w:space="0" w:color="auto"/>
            </w:tcBorders>
            <w:shd w:val="clear" w:color="auto" w:fill="auto"/>
            <w:vAlign w:val="center"/>
          </w:tcPr>
          <w:p w14:paraId="683C12FC"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sz w:val="16"/>
                <w:szCs w:val="16"/>
              </w:rPr>
            </w:pPr>
            <w:r>
              <w:rPr>
                <w:sz w:val="16"/>
                <w:szCs w:val="16"/>
              </w:rPr>
              <w:t>-</w:t>
            </w:r>
          </w:p>
        </w:tc>
        <w:tc>
          <w:tcPr>
            <w:tcW w:w="467" w:type="pct"/>
            <w:gridSpan w:val="3"/>
            <w:tcBorders>
              <w:top w:val="nil"/>
              <w:left w:val="nil"/>
              <w:bottom w:val="single" w:sz="4" w:space="0" w:color="auto"/>
              <w:right w:val="single" w:sz="4" w:space="0" w:color="auto"/>
            </w:tcBorders>
            <w:shd w:val="clear" w:color="auto" w:fill="auto"/>
            <w:vAlign w:val="center"/>
          </w:tcPr>
          <w:p w14:paraId="63B136AB"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21</w:t>
            </w:r>
          </w:p>
        </w:tc>
        <w:tc>
          <w:tcPr>
            <w:tcW w:w="199" w:type="pct"/>
            <w:gridSpan w:val="2"/>
            <w:tcBorders>
              <w:top w:val="nil"/>
              <w:left w:val="nil"/>
              <w:bottom w:val="single" w:sz="4" w:space="0" w:color="auto"/>
            </w:tcBorders>
            <w:shd w:val="clear" w:color="auto" w:fill="auto"/>
            <w:vAlign w:val="center"/>
          </w:tcPr>
          <w:p w14:paraId="208B3842" w14:textId="77777777" w:rsidR="00B326C9"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sz w:val="16"/>
                <w:szCs w:val="16"/>
              </w:rPr>
            </w:pPr>
            <w:r>
              <w:rPr>
                <w:sz w:val="16"/>
                <w:szCs w:val="16"/>
              </w:rPr>
              <w:t>7</w:t>
            </w:r>
          </w:p>
        </w:tc>
      </w:tr>
      <w:tr w:rsidR="00B326C9" w:rsidRPr="00922A9B" w14:paraId="03ACD8DB"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tcPr>
          <w:p w14:paraId="6AD141E5"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p>
          <w:p w14:paraId="78D9EACB"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16</w:t>
            </w:r>
          </w:p>
        </w:tc>
        <w:tc>
          <w:tcPr>
            <w:tcW w:w="371" w:type="pct"/>
            <w:gridSpan w:val="2"/>
            <w:tcBorders>
              <w:top w:val="nil"/>
              <w:left w:val="nil"/>
              <w:bottom w:val="single" w:sz="4" w:space="0" w:color="auto"/>
              <w:right w:val="single" w:sz="4" w:space="0" w:color="auto"/>
            </w:tcBorders>
            <w:shd w:val="clear" w:color="auto" w:fill="auto"/>
            <w:vAlign w:val="center"/>
          </w:tcPr>
          <w:p w14:paraId="5B1170A5" w14:textId="77777777" w:rsidR="00420A1A"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2018-IT-TM-0106</w:t>
            </w:r>
          </w:p>
          <w:p w14:paraId="471B505E" w14:textId="77777777" w:rsidR="00B326C9" w:rsidRPr="00310D3C" w:rsidRDefault="00420A1A"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r w:rsidR="00B326C9">
              <w:rPr>
                <w:rFonts w:eastAsia="Times New Roman" w:cs="Times New Roman"/>
                <w:color w:val="auto"/>
                <w:sz w:val="16"/>
                <w:szCs w:val="16"/>
                <w:bdr w:val="none" w:sz="0" w:space="0" w:color="auto"/>
                <w:lang w:eastAsia="en-GB"/>
              </w:rPr>
              <w:t>S</w:t>
            </w:r>
          </w:p>
        </w:tc>
        <w:tc>
          <w:tcPr>
            <w:tcW w:w="587" w:type="pct"/>
            <w:gridSpan w:val="2"/>
            <w:tcBorders>
              <w:top w:val="nil"/>
              <w:left w:val="nil"/>
              <w:bottom w:val="single" w:sz="4" w:space="0" w:color="auto"/>
              <w:right w:val="single" w:sz="4" w:space="0" w:color="auto"/>
            </w:tcBorders>
            <w:shd w:val="clear" w:color="auto" w:fill="auto"/>
            <w:vAlign w:val="center"/>
          </w:tcPr>
          <w:p w14:paraId="7DE70B99"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C08B1">
              <w:rPr>
                <w:rFonts w:eastAsia="Times New Roman" w:cs="Times New Roman"/>
                <w:color w:val="auto"/>
                <w:sz w:val="16"/>
                <w:szCs w:val="16"/>
                <w:bdr w:val="none" w:sz="0" w:space="0" w:color="auto"/>
                <w:lang w:eastAsia="en-GB"/>
              </w:rPr>
              <w:t xml:space="preserve">SMART-C - Scalo </w:t>
            </w:r>
            <w:proofErr w:type="spellStart"/>
            <w:r w:rsidRPr="003C08B1">
              <w:rPr>
                <w:rFonts w:eastAsia="Times New Roman" w:cs="Times New Roman"/>
                <w:color w:val="auto"/>
                <w:sz w:val="16"/>
                <w:szCs w:val="16"/>
                <w:bdr w:val="none" w:sz="0" w:space="0" w:color="auto"/>
                <w:lang w:eastAsia="en-GB"/>
              </w:rPr>
              <w:t>MArotti</w:t>
            </w:r>
            <w:proofErr w:type="spellEnd"/>
            <w:r w:rsidRPr="003C08B1">
              <w:rPr>
                <w:rFonts w:eastAsia="Times New Roman" w:cs="Times New Roman"/>
                <w:color w:val="auto"/>
                <w:sz w:val="16"/>
                <w:szCs w:val="16"/>
                <w:bdr w:val="none" w:sz="0" w:space="0" w:color="auto"/>
                <w:lang w:eastAsia="en-GB"/>
              </w:rPr>
              <w:t xml:space="preserve"> </w:t>
            </w:r>
            <w:proofErr w:type="spellStart"/>
            <w:r w:rsidRPr="003C08B1">
              <w:rPr>
                <w:rFonts w:eastAsia="Times New Roman" w:cs="Times New Roman"/>
                <w:color w:val="auto"/>
                <w:sz w:val="16"/>
                <w:szCs w:val="16"/>
                <w:bdr w:val="none" w:sz="0" w:space="0" w:color="auto"/>
                <w:lang w:eastAsia="en-GB"/>
              </w:rPr>
              <w:t>viRTual</w:t>
            </w:r>
            <w:proofErr w:type="spellEnd"/>
            <w:r w:rsidRPr="003C08B1">
              <w:rPr>
                <w:rFonts w:eastAsia="Times New Roman" w:cs="Times New Roman"/>
                <w:color w:val="auto"/>
                <w:sz w:val="16"/>
                <w:szCs w:val="16"/>
                <w:bdr w:val="none" w:sz="0" w:space="0" w:color="auto"/>
                <w:lang w:eastAsia="en-GB"/>
              </w:rPr>
              <w:t xml:space="preserve"> </w:t>
            </w:r>
            <w:proofErr w:type="spellStart"/>
            <w:r w:rsidRPr="003C08B1">
              <w:rPr>
                <w:rFonts w:eastAsia="Times New Roman" w:cs="Times New Roman"/>
                <w:color w:val="auto"/>
                <w:sz w:val="16"/>
                <w:szCs w:val="16"/>
                <w:bdr w:val="none" w:sz="0" w:space="0" w:color="auto"/>
                <w:lang w:eastAsia="en-GB"/>
              </w:rPr>
              <w:t>Corridor</w:t>
            </w:r>
            <w:proofErr w:type="spellEnd"/>
            <w:r w:rsidRPr="003C08B1">
              <w:rPr>
                <w:rFonts w:eastAsia="Times New Roman" w:cs="Times New Roman"/>
                <w:color w:val="auto"/>
                <w:sz w:val="16"/>
                <w:szCs w:val="16"/>
                <w:bdr w:val="none" w:sz="0" w:space="0" w:color="auto"/>
                <w:lang w:eastAsia="en-GB"/>
              </w:rPr>
              <w:t>: gestione dei flussi di veicoli relativi al traffico dei traghetti all'interno delle strutture po</w:t>
            </w:r>
            <w:r>
              <w:rPr>
                <w:rFonts w:eastAsia="Times New Roman" w:cs="Times New Roman"/>
                <w:color w:val="auto"/>
                <w:sz w:val="16"/>
                <w:szCs w:val="16"/>
                <w:bdr w:val="none" w:sz="0" w:space="0" w:color="auto"/>
                <w:lang w:eastAsia="en-GB"/>
              </w:rPr>
              <w:t>rtuali e delle aree circostanti</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tcPr>
          <w:p w14:paraId="23B4EA8A"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31/01/21</w:t>
            </w:r>
          </w:p>
        </w:tc>
        <w:tc>
          <w:tcPr>
            <w:tcW w:w="392" w:type="pct"/>
            <w:gridSpan w:val="2"/>
            <w:tcBorders>
              <w:top w:val="nil"/>
              <w:left w:val="nil"/>
              <w:bottom w:val="single" w:sz="4" w:space="0" w:color="auto"/>
              <w:right w:val="single" w:sz="4" w:space="0" w:color="auto"/>
            </w:tcBorders>
            <w:shd w:val="clear" w:color="auto" w:fill="auto"/>
            <w:noWrap/>
            <w:vAlign w:val="center"/>
          </w:tcPr>
          <w:p w14:paraId="6E9670A5"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1.084</w:t>
            </w:r>
          </w:p>
        </w:tc>
        <w:tc>
          <w:tcPr>
            <w:tcW w:w="522" w:type="pct"/>
            <w:gridSpan w:val="4"/>
            <w:tcBorders>
              <w:top w:val="nil"/>
              <w:left w:val="nil"/>
              <w:bottom w:val="single" w:sz="4" w:space="0" w:color="auto"/>
              <w:right w:val="single" w:sz="4" w:space="0" w:color="auto"/>
            </w:tcBorders>
            <w:shd w:val="clear" w:color="auto" w:fill="auto"/>
            <w:noWrap/>
            <w:vAlign w:val="center"/>
          </w:tcPr>
          <w:p w14:paraId="1C6C52D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542</w:t>
            </w:r>
          </w:p>
        </w:tc>
        <w:tc>
          <w:tcPr>
            <w:tcW w:w="487" w:type="pct"/>
            <w:gridSpan w:val="4"/>
            <w:tcBorders>
              <w:top w:val="nil"/>
              <w:left w:val="nil"/>
              <w:bottom w:val="single" w:sz="4" w:space="0" w:color="auto"/>
              <w:right w:val="single" w:sz="4" w:space="0" w:color="auto"/>
            </w:tcBorders>
            <w:shd w:val="clear" w:color="auto" w:fill="auto"/>
            <w:noWrap/>
            <w:vAlign w:val="center"/>
          </w:tcPr>
          <w:p w14:paraId="02B2E756"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1.084</w:t>
            </w:r>
          </w:p>
        </w:tc>
        <w:tc>
          <w:tcPr>
            <w:tcW w:w="462" w:type="pct"/>
            <w:gridSpan w:val="4"/>
            <w:tcBorders>
              <w:top w:val="nil"/>
              <w:left w:val="nil"/>
              <w:bottom w:val="single" w:sz="4" w:space="0" w:color="auto"/>
              <w:right w:val="single" w:sz="4" w:space="0" w:color="auto"/>
            </w:tcBorders>
            <w:shd w:val="clear" w:color="auto" w:fill="auto"/>
            <w:noWrap/>
            <w:vAlign w:val="center"/>
          </w:tcPr>
          <w:p w14:paraId="246190EE"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542</w:t>
            </w:r>
          </w:p>
        </w:tc>
        <w:tc>
          <w:tcPr>
            <w:tcW w:w="436" w:type="pct"/>
            <w:gridSpan w:val="4"/>
            <w:tcBorders>
              <w:top w:val="nil"/>
              <w:left w:val="nil"/>
              <w:bottom w:val="single" w:sz="4" w:space="0" w:color="auto"/>
              <w:right w:val="single" w:sz="4" w:space="0" w:color="auto"/>
            </w:tcBorders>
            <w:shd w:val="clear" w:color="auto" w:fill="auto"/>
            <w:noWrap/>
            <w:vAlign w:val="center"/>
          </w:tcPr>
          <w:p w14:paraId="4E01C74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213</w:t>
            </w:r>
          </w:p>
        </w:tc>
        <w:tc>
          <w:tcPr>
            <w:tcW w:w="354" w:type="pct"/>
            <w:gridSpan w:val="4"/>
            <w:tcBorders>
              <w:top w:val="nil"/>
              <w:left w:val="nil"/>
              <w:bottom w:val="single" w:sz="4" w:space="0" w:color="auto"/>
              <w:right w:val="single" w:sz="4" w:space="0" w:color="auto"/>
            </w:tcBorders>
            <w:shd w:val="clear" w:color="auto" w:fill="auto"/>
            <w:noWrap/>
            <w:vAlign w:val="center"/>
          </w:tcPr>
          <w:p w14:paraId="35464D27"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sz w:val="16"/>
                <w:szCs w:val="16"/>
              </w:rPr>
            </w:pPr>
            <w:r>
              <w:rPr>
                <w:sz w:val="16"/>
                <w:szCs w:val="16"/>
              </w:rPr>
              <w:t>39,3</w:t>
            </w:r>
          </w:p>
        </w:tc>
        <w:tc>
          <w:tcPr>
            <w:tcW w:w="273" w:type="pct"/>
            <w:gridSpan w:val="3"/>
            <w:tcBorders>
              <w:top w:val="nil"/>
              <w:left w:val="nil"/>
              <w:bottom w:val="single" w:sz="4" w:space="0" w:color="auto"/>
              <w:right w:val="single" w:sz="4" w:space="0" w:color="auto"/>
            </w:tcBorders>
            <w:shd w:val="clear" w:color="auto" w:fill="auto"/>
            <w:vAlign w:val="center"/>
          </w:tcPr>
          <w:p w14:paraId="650A95A7"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sz w:val="16"/>
                <w:szCs w:val="16"/>
              </w:rPr>
            </w:pPr>
            <w:r>
              <w:rPr>
                <w:sz w:val="16"/>
                <w:szCs w:val="16"/>
              </w:rPr>
              <w:t>-</w:t>
            </w:r>
          </w:p>
        </w:tc>
        <w:tc>
          <w:tcPr>
            <w:tcW w:w="467" w:type="pct"/>
            <w:gridSpan w:val="3"/>
            <w:tcBorders>
              <w:top w:val="nil"/>
              <w:left w:val="nil"/>
              <w:bottom w:val="single" w:sz="4" w:space="0" w:color="auto"/>
              <w:right w:val="single" w:sz="4" w:space="0" w:color="auto"/>
            </w:tcBorders>
            <w:shd w:val="clear" w:color="auto" w:fill="auto"/>
            <w:vAlign w:val="center"/>
          </w:tcPr>
          <w:p w14:paraId="621C0241"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220</w:t>
            </w:r>
          </w:p>
        </w:tc>
        <w:tc>
          <w:tcPr>
            <w:tcW w:w="199" w:type="pct"/>
            <w:gridSpan w:val="2"/>
            <w:tcBorders>
              <w:top w:val="nil"/>
              <w:left w:val="nil"/>
              <w:bottom w:val="single" w:sz="4" w:space="0" w:color="auto"/>
            </w:tcBorders>
            <w:shd w:val="clear" w:color="auto" w:fill="auto"/>
            <w:vAlign w:val="center"/>
          </w:tcPr>
          <w:p w14:paraId="678F689A" w14:textId="77777777" w:rsidR="00B326C9"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sz w:val="16"/>
                <w:szCs w:val="16"/>
              </w:rPr>
            </w:pPr>
            <w:r>
              <w:rPr>
                <w:sz w:val="16"/>
                <w:szCs w:val="16"/>
              </w:rPr>
              <w:t>50</w:t>
            </w:r>
          </w:p>
        </w:tc>
      </w:tr>
      <w:tr w:rsidR="00B326C9" w:rsidRPr="00922A9B" w14:paraId="6BB246C1"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tcPr>
          <w:p w14:paraId="1907F52B"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p>
          <w:p w14:paraId="61554185"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17</w:t>
            </w:r>
          </w:p>
        </w:tc>
        <w:tc>
          <w:tcPr>
            <w:tcW w:w="371" w:type="pct"/>
            <w:gridSpan w:val="2"/>
            <w:tcBorders>
              <w:top w:val="nil"/>
              <w:left w:val="nil"/>
              <w:bottom w:val="single" w:sz="4" w:space="0" w:color="auto"/>
              <w:right w:val="single" w:sz="4" w:space="0" w:color="auto"/>
            </w:tcBorders>
            <w:shd w:val="clear" w:color="auto" w:fill="auto"/>
          </w:tcPr>
          <w:p w14:paraId="1EBF6F6C"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p>
          <w:p w14:paraId="31224F7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p>
          <w:p w14:paraId="0C502C4E"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p>
          <w:p w14:paraId="7AC06128"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p>
          <w:p w14:paraId="415C3DE8" w14:textId="77777777" w:rsidR="00420A1A"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2019-IT-TA-0034</w:t>
            </w:r>
          </w:p>
          <w:p w14:paraId="0ABFC939"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-M</w:t>
            </w:r>
          </w:p>
        </w:tc>
        <w:tc>
          <w:tcPr>
            <w:tcW w:w="587" w:type="pct"/>
            <w:gridSpan w:val="2"/>
            <w:tcBorders>
              <w:top w:val="nil"/>
              <w:left w:val="nil"/>
              <w:bottom w:val="single" w:sz="4" w:space="0" w:color="auto"/>
              <w:right w:val="single" w:sz="4" w:space="0" w:color="auto"/>
            </w:tcBorders>
            <w:shd w:val="clear" w:color="auto" w:fill="auto"/>
          </w:tcPr>
          <w:p w14:paraId="7A973E4F"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2E17CB">
              <w:rPr>
                <w:rFonts w:eastAsia="Times New Roman" w:cs="Times New Roman"/>
                <w:color w:val="auto"/>
                <w:sz w:val="16"/>
                <w:szCs w:val="16"/>
                <w:bdr w:val="none" w:sz="0" w:space="0" w:color="auto"/>
                <w:lang w:eastAsia="en-GB"/>
              </w:rPr>
              <w:t>Fast Track to the Sea - Progettazione ed esecuzione dei lavori dei collegamenti di ultimo miglio ferroviari del porto di Civitavecchia</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tcPr>
          <w:p w14:paraId="173E5C28"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30/06/23</w:t>
            </w:r>
          </w:p>
        </w:tc>
        <w:tc>
          <w:tcPr>
            <w:tcW w:w="392" w:type="pct"/>
            <w:gridSpan w:val="2"/>
            <w:tcBorders>
              <w:top w:val="nil"/>
              <w:left w:val="nil"/>
              <w:bottom w:val="single" w:sz="4" w:space="0" w:color="auto"/>
              <w:right w:val="single" w:sz="4" w:space="0" w:color="auto"/>
            </w:tcBorders>
            <w:shd w:val="clear" w:color="auto" w:fill="auto"/>
            <w:noWrap/>
            <w:vAlign w:val="center"/>
          </w:tcPr>
          <w:p w14:paraId="4E621CF5"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18.461</w:t>
            </w:r>
          </w:p>
        </w:tc>
        <w:tc>
          <w:tcPr>
            <w:tcW w:w="522" w:type="pct"/>
            <w:gridSpan w:val="4"/>
            <w:tcBorders>
              <w:top w:val="nil"/>
              <w:left w:val="nil"/>
              <w:bottom w:val="single" w:sz="4" w:space="0" w:color="auto"/>
              <w:right w:val="single" w:sz="4" w:space="0" w:color="auto"/>
            </w:tcBorders>
            <w:shd w:val="clear" w:color="auto" w:fill="auto"/>
            <w:noWrap/>
            <w:vAlign w:val="center"/>
          </w:tcPr>
          <w:p w14:paraId="24FDC636"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3.868</w:t>
            </w:r>
          </w:p>
        </w:tc>
        <w:tc>
          <w:tcPr>
            <w:tcW w:w="487" w:type="pct"/>
            <w:gridSpan w:val="4"/>
            <w:tcBorders>
              <w:top w:val="nil"/>
              <w:left w:val="nil"/>
              <w:bottom w:val="single" w:sz="4" w:space="0" w:color="auto"/>
              <w:right w:val="single" w:sz="4" w:space="0" w:color="auto"/>
            </w:tcBorders>
            <w:shd w:val="clear" w:color="auto" w:fill="auto"/>
            <w:noWrap/>
            <w:vAlign w:val="center"/>
          </w:tcPr>
          <w:p w14:paraId="36A9CBFA"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18.461</w:t>
            </w:r>
          </w:p>
        </w:tc>
        <w:tc>
          <w:tcPr>
            <w:tcW w:w="462" w:type="pct"/>
            <w:gridSpan w:val="4"/>
            <w:tcBorders>
              <w:top w:val="nil"/>
              <w:left w:val="nil"/>
              <w:bottom w:val="single" w:sz="4" w:space="0" w:color="auto"/>
              <w:right w:val="single" w:sz="4" w:space="0" w:color="auto"/>
            </w:tcBorders>
            <w:shd w:val="clear" w:color="auto" w:fill="auto"/>
            <w:noWrap/>
            <w:vAlign w:val="center"/>
          </w:tcPr>
          <w:p w14:paraId="2B02FEC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3.868</w:t>
            </w:r>
          </w:p>
        </w:tc>
        <w:tc>
          <w:tcPr>
            <w:tcW w:w="436" w:type="pct"/>
            <w:gridSpan w:val="4"/>
            <w:tcBorders>
              <w:top w:val="nil"/>
              <w:left w:val="nil"/>
              <w:bottom w:val="single" w:sz="4" w:space="0" w:color="auto"/>
              <w:right w:val="single" w:sz="4" w:space="0" w:color="auto"/>
            </w:tcBorders>
            <w:shd w:val="clear" w:color="auto" w:fill="auto"/>
            <w:noWrap/>
            <w:vAlign w:val="center"/>
          </w:tcPr>
          <w:p w14:paraId="2CF5D52B"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1.547</w:t>
            </w:r>
          </w:p>
        </w:tc>
        <w:tc>
          <w:tcPr>
            <w:tcW w:w="354" w:type="pct"/>
            <w:gridSpan w:val="4"/>
            <w:tcBorders>
              <w:top w:val="nil"/>
              <w:left w:val="nil"/>
              <w:bottom w:val="single" w:sz="4" w:space="0" w:color="auto"/>
              <w:right w:val="single" w:sz="4" w:space="0" w:color="auto"/>
            </w:tcBorders>
            <w:shd w:val="clear" w:color="auto" w:fill="auto"/>
            <w:noWrap/>
            <w:vAlign w:val="center"/>
          </w:tcPr>
          <w:p w14:paraId="6DFF8C2A"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sz w:val="16"/>
                <w:szCs w:val="16"/>
              </w:rPr>
            </w:pPr>
            <w:r>
              <w:rPr>
                <w:sz w:val="16"/>
                <w:szCs w:val="16"/>
              </w:rPr>
              <w:t>40,0</w:t>
            </w:r>
          </w:p>
        </w:tc>
        <w:tc>
          <w:tcPr>
            <w:tcW w:w="273" w:type="pct"/>
            <w:gridSpan w:val="3"/>
            <w:tcBorders>
              <w:top w:val="nil"/>
              <w:left w:val="nil"/>
              <w:bottom w:val="single" w:sz="4" w:space="0" w:color="auto"/>
              <w:right w:val="single" w:sz="4" w:space="0" w:color="auto"/>
            </w:tcBorders>
            <w:shd w:val="clear" w:color="auto" w:fill="auto"/>
            <w:vAlign w:val="center"/>
          </w:tcPr>
          <w:p w14:paraId="7FB11446"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sz w:val="16"/>
                <w:szCs w:val="16"/>
              </w:rPr>
            </w:pPr>
            <w:r>
              <w:rPr>
                <w:sz w:val="16"/>
                <w:szCs w:val="16"/>
              </w:rPr>
              <w:t>-</w:t>
            </w:r>
          </w:p>
        </w:tc>
        <w:tc>
          <w:tcPr>
            <w:tcW w:w="467" w:type="pct"/>
            <w:gridSpan w:val="3"/>
            <w:tcBorders>
              <w:top w:val="nil"/>
              <w:left w:val="nil"/>
              <w:bottom w:val="single" w:sz="4" w:space="0" w:color="auto"/>
              <w:right w:val="single" w:sz="4" w:space="0" w:color="auto"/>
            </w:tcBorders>
            <w:shd w:val="clear" w:color="auto" w:fill="auto"/>
            <w:vAlign w:val="center"/>
          </w:tcPr>
          <w:p w14:paraId="4763CCB9"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69</w:t>
            </w:r>
          </w:p>
        </w:tc>
        <w:tc>
          <w:tcPr>
            <w:tcW w:w="199" w:type="pct"/>
            <w:gridSpan w:val="2"/>
            <w:tcBorders>
              <w:top w:val="nil"/>
              <w:left w:val="nil"/>
              <w:bottom w:val="single" w:sz="4" w:space="0" w:color="auto"/>
            </w:tcBorders>
            <w:shd w:val="clear" w:color="auto" w:fill="auto"/>
            <w:vAlign w:val="center"/>
          </w:tcPr>
          <w:p w14:paraId="5AB1A275" w14:textId="77777777" w:rsidR="00B326C9"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sz w:val="16"/>
                <w:szCs w:val="16"/>
              </w:rPr>
            </w:pPr>
            <w:r>
              <w:rPr>
                <w:sz w:val="16"/>
                <w:szCs w:val="16"/>
              </w:rPr>
              <w:t>2</w:t>
            </w:r>
          </w:p>
        </w:tc>
      </w:tr>
      <w:tr w:rsidR="00B326C9" w:rsidRPr="00922A9B" w14:paraId="34FA25E2" w14:textId="77777777" w:rsidTr="00C56F61">
        <w:trPr>
          <w:trHeight w:val="286"/>
        </w:trPr>
        <w:tc>
          <w:tcPr>
            <w:tcW w:w="230" w:type="pct"/>
            <w:tcBorders>
              <w:top w:val="nil"/>
              <w:left w:val="nil"/>
              <w:bottom w:val="single" w:sz="4" w:space="0" w:color="auto"/>
              <w:right w:val="single" w:sz="4" w:space="0" w:color="auto"/>
            </w:tcBorders>
            <w:shd w:val="clear" w:color="auto" w:fill="auto"/>
            <w:noWrap/>
            <w:vAlign w:val="center"/>
          </w:tcPr>
          <w:p w14:paraId="31515BAA"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18</w:t>
            </w:r>
          </w:p>
        </w:tc>
        <w:tc>
          <w:tcPr>
            <w:tcW w:w="371" w:type="pct"/>
            <w:gridSpan w:val="2"/>
            <w:tcBorders>
              <w:top w:val="nil"/>
              <w:left w:val="nil"/>
              <w:bottom w:val="single" w:sz="4" w:space="0" w:color="auto"/>
              <w:right w:val="single" w:sz="4" w:space="0" w:color="auto"/>
            </w:tcBorders>
            <w:shd w:val="clear" w:color="auto" w:fill="auto"/>
            <w:vAlign w:val="center"/>
          </w:tcPr>
          <w:p w14:paraId="193664D9" w14:textId="77777777" w:rsidR="00420A1A"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2019-IT-TA- 0069</w:t>
            </w:r>
          </w:p>
          <w:p w14:paraId="56C7955F"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w:t>
            </w:r>
          </w:p>
        </w:tc>
        <w:tc>
          <w:tcPr>
            <w:tcW w:w="587" w:type="pct"/>
            <w:gridSpan w:val="2"/>
            <w:tcBorders>
              <w:top w:val="nil"/>
              <w:left w:val="nil"/>
              <w:bottom w:val="single" w:sz="4" w:space="0" w:color="auto"/>
              <w:right w:val="single" w:sz="4" w:space="0" w:color="auto"/>
            </w:tcBorders>
            <w:shd w:val="clear" w:color="auto" w:fill="auto"/>
            <w:vAlign w:val="center"/>
          </w:tcPr>
          <w:p w14:paraId="41BA54B9"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EA1085">
              <w:rPr>
                <w:rFonts w:eastAsia="Times New Roman" w:cs="Times New Roman"/>
                <w:color w:val="auto"/>
                <w:sz w:val="16"/>
                <w:szCs w:val="16"/>
                <w:bdr w:val="none" w:sz="0" w:space="0" w:color="auto"/>
                <w:lang w:eastAsia="en-GB"/>
              </w:rPr>
              <w:t>Progetto MARBLE- Collegamento ferroviario e stradale del porto di Marina di Carrara con l'</w:t>
            </w:r>
            <w:proofErr w:type="spellStart"/>
            <w:r w:rsidRPr="00EA1085">
              <w:rPr>
                <w:rFonts w:eastAsia="Times New Roman" w:cs="Times New Roman"/>
                <w:color w:val="auto"/>
                <w:sz w:val="16"/>
                <w:szCs w:val="16"/>
                <w:bdr w:val="none" w:sz="0" w:space="0" w:color="auto"/>
                <w:lang w:eastAsia="en-GB"/>
              </w:rPr>
              <w:t>interland</w:t>
            </w:r>
            <w:proofErr w:type="spellEnd"/>
          </w:p>
        </w:tc>
        <w:tc>
          <w:tcPr>
            <w:tcW w:w="220" w:type="pct"/>
            <w:gridSpan w:val="2"/>
            <w:tcBorders>
              <w:top w:val="nil"/>
              <w:left w:val="nil"/>
              <w:bottom w:val="single" w:sz="4" w:space="0" w:color="auto"/>
              <w:right w:val="single" w:sz="4" w:space="0" w:color="auto"/>
            </w:tcBorders>
            <w:shd w:val="clear" w:color="auto" w:fill="auto"/>
            <w:noWrap/>
            <w:textDirection w:val="btLr"/>
            <w:vAlign w:val="center"/>
          </w:tcPr>
          <w:p w14:paraId="245116AC"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31/03/22</w:t>
            </w:r>
          </w:p>
        </w:tc>
        <w:tc>
          <w:tcPr>
            <w:tcW w:w="392" w:type="pct"/>
            <w:gridSpan w:val="2"/>
            <w:tcBorders>
              <w:top w:val="nil"/>
              <w:left w:val="nil"/>
              <w:bottom w:val="single" w:sz="4" w:space="0" w:color="auto"/>
              <w:right w:val="single" w:sz="4" w:space="0" w:color="auto"/>
            </w:tcBorders>
            <w:shd w:val="clear" w:color="auto" w:fill="auto"/>
            <w:noWrap/>
            <w:vAlign w:val="center"/>
          </w:tcPr>
          <w:p w14:paraId="55DF99AD"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11.313</w:t>
            </w:r>
          </w:p>
        </w:tc>
        <w:tc>
          <w:tcPr>
            <w:tcW w:w="522" w:type="pct"/>
            <w:gridSpan w:val="4"/>
            <w:tcBorders>
              <w:top w:val="nil"/>
              <w:left w:val="nil"/>
              <w:bottom w:val="single" w:sz="4" w:space="0" w:color="auto"/>
              <w:right w:val="single" w:sz="4" w:space="0" w:color="auto"/>
            </w:tcBorders>
            <w:shd w:val="clear" w:color="auto" w:fill="auto"/>
            <w:noWrap/>
            <w:vAlign w:val="center"/>
          </w:tcPr>
          <w:p w14:paraId="7E176FD7"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2.263</w:t>
            </w:r>
          </w:p>
        </w:tc>
        <w:tc>
          <w:tcPr>
            <w:tcW w:w="487" w:type="pct"/>
            <w:gridSpan w:val="4"/>
            <w:tcBorders>
              <w:top w:val="nil"/>
              <w:left w:val="nil"/>
              <w:bottom w:val="single" w:sz="4" w:space="0" w:color="auto"/>
              <w:right w:val="single" w:sz="4" w:space="0" w:color="auto"/>
            </w:tcBorders>
            <w:shd w:val="clear" w:color="auto" w:fill="auto"/>
            <w:noWrap/>
            <w:vAlign w:val="center"/>
          </w:tcPr>
          <w:p w14:paraId="642A7DD2"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11.313</w:t>
            </w:r>
          </w:p>
        </w:tc>
        <w:tc>
          <w:tcPr>
            <w:tcW w:w="462" w:type="pct"/>
            <w:gridSpan w:val="4"/>
            <w:tcBorders>
              <w:top w:val="nil"/>
              <w:left w:val="nil"/>
              <w:bottom w:val="single" w:sz="4" w:space="0" w:color="auto"/>
              <w:right w:val="single" w:sz="4" w:space="0" w:color="auto"/>
            </w:tcBorders>
            <w:shd w:val="clear" w:color="auto" w:fill="auto"/>
            <w:noWrap/>
            <w:vAlign w:val="center"/>
          </w:tcPr>
          <w:p w14:paraId="4D29BEB9"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2.263</w:t>
            </w:r>
          </w:p>
        </w:tc>
        <w:tc>
          <w:tcPr>
            <w:tcW w:w="436" w:type="pct"/>
            <w:gridSpan w:val="4"/>
            <w:tcBorders>
              <w:top w:val="nil"/>
              <w:left w:val="nil"/>
              <w:bottom w:val="single" w:sz="4" w:space="0" w:color="auto"/>
              <w:right w:val="single" w:sz="4" w:space="0" w:color="auto"/>
            </w:tcBorders>
            <w:shd w:val="clear" w:color="auto" w:fill="auto"/>
            <w:noWrap/>
            <w:vAlign w:val="center"/>
          </w:tcPr>
          <w:p w14:paraId="5586AC74" w14:textId="77777777" w:rsidR="00B326C9" w:rsidRPr="002E17C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905</w:t>
            </w:r>
          </w:p>
        </w:tc>
        <w:tc>
          <w:tcPr>
            <w:tcW w:w="354" w:type="pct"/>
            <w:gridSpan w:val="4"/>
            <w:tcBorders>
              <w:top w:val="nil"/>
              <w:left w:val="nil"/>
              <w:bottom w:val="single" w:sz="4" w:space="0" w:color="auto"/>
              <w:right w:val="single" w:sz="4" w:space="0" w:color="auto"/>
            </w:tcBorders>
            <w:shd w:val="clear" w:color="auto" w:fill="auto"/>
            <w:noWrap/>
            <w:vAlign w:val="center"/>
          </w:tcPr>
          <w:p w14:paraId="2A92B18A"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sz w:val="16"/>
                <w:szCs w:val="16"/>
              </w:rPr>
            </w:pPr>
            <w:r>
              <w:rPr>
                <w:sz w:val="16"/>
                <w:szCs w:val="16"/>
              </w:rPr>
              <w:t>40,0</w:t>
            </w:r>
          </w:p>
        </w:tc>
        <w:tc>
          <w:tcPr>
            <w:tcW w:w="273" w:type="pct"/>
            <w:gridSpan w:val="3"/>
            <w:tcBorders>
              <w:top w:val="nil"/>
              <w:left w:val="nil"/>
              <w:bottom w:val="single" w:sz="4" w:space="0" w:color="auto"/>
              <w:right w:val="single" w:sz="4" w:space="0" w:color="auto"/>
            </w:tcBorders>
            <w:shd w:val="clear" w:color="auto" w:fill="auto"/>
            <w:vAlign w:val="center"/>
          </w:tcPr>
          <w:p w14:paraId="58B1B4FA"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sz w:val="16"/>
                <w:szCs w:val="16"/>
              </w:rPr>
            </w:pPr>
            <w:r>
              <w:rPr>
                <w:sz w:val="16"/>
                <w:szCs w:val="16"/>
              </w:rPr>
              <w:t>-</w:t>
            </w:r>
          </w:p>
        </w:tc>
        <w:tc>
          <w:tcPr>
            <w:tcW w:w="467" w:type="pct"/>
            <w:gridSpan w:val="3"/>
            <w:tcBorders>
              <w:top w:val="nil"/>
              <w:left w:val="nil"/>
              <w:bottom w:val="single" w:sz="4" w:space="0" w:color="auto"/>
              <w:right w:val="single" w:sz="4" w:space="0" w:color="auto"/>
            </w:tcBorders>
            <w:shd w:val="clear" w:color="auto" w:fill="auto"/>
            <w:vAlign w:val="center"/>
          </w:tcPr>
          <w:p w14:paraId="3478BD5A" w14:textId="77777777" w:rsidR="00B326C9" w:rsidRPr="00310D3C"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w:t>
            </w:r>
          </w:p>
        </w:tc>
        <w:tc>
          <w:tcPr>
            <w:tcW w:w="199" w:type="pct"/>
            <w:gridSpan w:val="2"/>
            <w:tcBorders>
              <w:top w:val="nil"/>
              <w:left w:val="nil"/>
              <w:bottom w:val="single" w:sz="4" w:space="0" w:color="auto"/>
            </w:tcBorders>
            <w:shd w:val="clear" w:color="auto" w:fill="auto"/>
            <w:vAlign w:val="center"/>
          </w:tcPr>
          <w:p w14:paraId="1704FA11" w14:textId="77777777" w:rsidR="00B326C9"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15" w:right="-109"/>
              <w:jc w:val="center"/>
              <w:rPr>
                <w:sz w:val="16"/>
                <w:szCs w:val="16"/>
              </w:rPr>
            </w:pPr>
            <w:r>
              <w:rPr>
                <w:sz w:val="16"/>
                <w:szCs w:val="16"/>
              </w:rPr>
              <w:t>0</w:t>
            </w:r>
          </w:p>
        </w:tc>
      </w:tr>
      <w:tr w:rsidR="00732F02" w:rsidRPr="00922A9B" w14:paraId="11591210" w14:textId="77777777" w:rsidTr="00C56F61">
        <w:trPr>
          <w:trHeight w:val="703"/>
        </w:trPr>
        <w:tc>
          <w:tcPr>
            <w:tcW w:w="1408"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7B8C226B" w14:textId="77777777" w:rsid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b/>
                <w:bCs/>
                <w:color w:val="auto"/>
                <w:sz w:val="16"/>
                <w:szCs w:val="16"/>
                <w:bdr w:val="none" w:sz="0" w:space="0" w:color="auto"/>
                <w:lang w:eastAsia="en-GB"/>
              </w:rPr>
            </w:pPr>
            <w:r w:rsidRPr="00922A9B">
              <w:rPr>
                <w:rFonts w:eastAsia="Times New Roman" w:cs="Times New Roman"/>
                <w:b/>
                <w:bCs/>
                <w:color w:val="auto"/>
                <w:sz w:val="16"/>
                <w:szCs w:val="16"/>
                <w:bdr w:val="none" w:sz="0" w:space="0" w:color="auto"/>
                <w:lang w:eastAsia="en-GB"/>
              </w:rPr>
              <w:t>Sub-totale modalità</w:t>
            </w:r>
          </w:p>
          <w:p w14:paraId="4A116279" w14:textId="77777777" w:rsidR="00732F02" w:rsidRPr="00922A9B" w:rsidRDefault="00C56F61" w:rsidP="00732F02">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V</w:t>
            </w:r>
            <w:r w:rsidR="00732F02">
              <w:rPr>
                <w:rFonts w:eastAsia="Times New Roman" w:cs="Times New Roman"/>
                <w:b/>
                <w:bCs/>
                <w:color w:val="auto"/>
                <w:sz w:val="16"/>
                <w:szCs w:val="16"/>
                <w:bdr w:val="none" w:sz="0" w:space="0" w:color="auto"/>
                <w:lang w:eastAsia="en-GB"/>
              </w:rPr>
              <w:t>TM</w:t>
            </w:r>
            <w:r>
              <w:rPr>
                <w:rFonts w:eastAsia="Times New Roman" w:cs="Times New Roman"/>
                <w:b/>
                <w:bCs/>
                <w:color w:val="auto"/>
                <w:sz w:val="16"/>
                <w:szCs w:val="16"/>
                <w:bdr w:val="none" w:sz="0" w:space="0" w:color="auto"/>
                <w:lang w:eastAsia="en-GB"/>
              </w:rPr>
              <w:t>I</w:t>
            </w:r>
            <w:r w:rsidR="00732F02">
              <w:rPr>
                <w:rFonts w:eastAsia="Times New Roman" w:cs="Times New Roman"/>
                <w:b/>
                <w:bCs/>
                <w:color w:val="auto"/>
                <w:sz w:val="16"/>
                <w:szCs w:val="16"/>
                <w:bdr w:val="none" w:sz="0" w:space="0" w:color="auto"/>
                <w:lang w:eastAsia="en-GB"/>
              </w:rPr>
              <w:t>S</w:t>
            </w:r>
            <w:r w:rsidR="00732F02" w:rsidRPr="008A76C4">
              <w:rPr>
                <w:rFonts w:eastAsia="Times New Roman" w:cs="Times New Roman"/>
                <w:b/>
                <w:bCs/>
                <w:color w:val="auto"/>
                <w:sz w:val="16"/>
                <w:szCs w:val="16"/>
                <w:bdr w:val="none" w:sz="0" w:space="0" w:color="auto"/>
                <w:vertAlign w:val="superscript"/>
                <w:lang w:eastAsia="en-GB"/>
              </w:rPr>
              <w:t>17</w:t>
            </w:r>
            <w:r w:rsidR="00732F02">
              <w:rPr>
                <w:rFonts w:eastAsia="Times New Roman" w:cs="Times New Roman"/>
                <w:b/>
                <w:bCs/>
                <w:color w:val="auto"/>
                <w:sz w:val="16"/>
                <w:szCs w:val="16"/>
                <w:bdr w:val="none" w:sz="0" w:space="0" w:color="auto"/>
                <w:lang w:eastAsia="en-GB"/>
              </w:rPr>
              <w:t xml:space="preserve"> /PORTUALE/AdM</w:t>
            </w:r>
            <w:r w:rsidR="00732F02">
              <w:rPr>
                <w:rFonts w:eastAsia="Times New Roman" w:cs="Times New Roman"/>
                <w:color w:val="auto"/>
                <w:sz w:val="16"/>
                <w:szCs w:val="16"/>
                <w:bdr w:val="none" w:sz="0" w:space="0" w:color="auto"/>
                <w:vertAlign w:val="superscript"/>
                <w:lang w:eastAsia="en-GB"/>
              </w:rPr>
              <w:t>18</w:t>
            </w:r>
            <w:r w:rsidR="00732F02" w:rsidRPr="00F04FEF">
              <w:rPr>
                <w:rFonts w:eastAsia="Times New Roman" w:cs="Times New Roman"/>
                <w:color w:val="auto"/>
                <w:sz w:val="16"/>
                <w:szCs w:val="16"/>
                <w:bdr w:val="none" w:sz="0" w:space="0" w:color="auto"/>
                <w:vertAlign w:val="superscript"/>
                <w:lang w:eastAsia="en-GB"/>
              </w:rPr>
              <w:t xml:space="preserve">  </w:t>
            </w:r>
          </w:p>
        </w:tc>
        <w:tc>
          <w:tcPr>
            <w:tcW w:w="392" w:type="pct"/>
            <w:gridSpan w:val="2"/>
            <w:tcBorders>
              <w:top w:val="nil"/>
              <w:left w:val="nil"/>
              <w:bottom w:val="single" w:sz="4" w:space="0" w:color="auto"/>
              <w:right w:val="single" w:sz="4" w:space="0" w:color="auto"/>
            </w:tcBorders>
            <w:shd w:val="clear" w:color="auto" w:fill="auto"/>
            <w:noWrap/>
            <w:vAlign w:val="center"/>
          </w:tcPr>
          <w:p w14:paraId="17FBA2B0"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sidRPr="00732F02">
              <w:rPr>
                <w:b/>
                <w:bCs/>
                <w:sz w:val="16"/>
                <w:szCs w:val="16"/>
              </w:rPr>
              <w:t>418.693</w:t>
            </w:r>
          </w:p>
        </w:tc>
        <w:tc>
          <w:tcPr>
            <w:tcW w:w="522" w:type="pct"/>
            <w:gridSpan w:val="4"/>
            <w:tcBorders>
              <w:top w:val="nil"/>
              <w:left w:val="nil"/>
              <w:bottom w:val="single" w:sz="4" w:space="0" w:color="auto"/>
              <w:right w:val="single" w:sz="4" w:space="0" w:color="auto"/>
            </w:tcBorders>
            <w:shd w:val="clear" w:color="auto" w:fill="auto"/>
            <w:noWrap/>
            <w:vAlign w:val="center"/>
          </w:tcPr>
          <w:p w14:paraId="2B9CEE8A"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sidRPr="00732F02">
              <w:rPr>
                <w:b/>
                <w:bCs/>
                <w:sz w:val="16"/>
                <w:szCs w:val="16"/>
              </w:rPr>
              <w:t>101.818</w:t>
            </w:r>
          </w:p>
        </w:tc>
        <w:tc>
          <w:tcPr>
            <w:tcW w:w="484" w:type="pct"/>
            <w:gridSpan w:val="3"/>
            <w:tcBorders>
              <w:top w:val="nil"/>
              <w:left w:val="nil"/>
              <w:bottom w:val="single" w:sz="4" w:space="0" w:color="auto"/>
              <w:right w:val="single" w:sz="4" w:space="0" w:color="auto"/>
            </w:tcBorders>
            <w:shd w:val="clear" w:color="auto" w:fill="auto"/>
            <w:noWrap/>
            <w:vAlign w:val="center"/>
          </w:tcPr>
          <w:p w14:paraId="3E77EB3D"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sidRPr="00732F02">
              <w:rPr>
                <w:b/>
                <w:bCs/>
                <w:sz w:val="16"/>
                <w:szCs w:val="16"/>
              </w:rPr>
              <w:t>591.334</w:t>
            </w:r>
          </w:p>
        </w:tc>
        <w:tc>
          <w:tcPr>
            <w:tcW w:w="465" w:type="pct"/>
            <w:gridSpan w:val="5"/>
            <w:tcBorders>
              <w:top w:val="nil"/>
              <w:left w:val="nil"/>
              <w:bottom w:val="single" w:sz="4" w:space="0" w:color="auto"/>
              <w:right w:val="single" w:sz="4" w:space="0" w:color="auto"/>
            </w:tcBorders>
            <w:shd w:val="clear" w:color="auto" w:fill="auto"/>
            <w:noWrap/>
            <w:vAlign w:val="center"/>
          </w:tcPr>
          <w:p w14:paraId="19886B77"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sidRPr="00732F02">
              <w:rPr>
                <w:b/>
                <w:bCs/>
                <w:sz w:val="16"/>
                <w:szCs w:val="16"/>
              </w:rPr>
              <w:t>168.963</w:t>
            </w:r>
          </w:p>
        </w:tc>
        <w:tc>
          <w:tcPr>
            <w:tcW w:w="436" w:type="pct"/>
            <w:gridSpan w:val="4"/>
            <w:tcBorders>
              <w:top w:val="nil"/>
              <w:left w:val="nil"/>
              <w:bottom w:val="single" w:sz="4" w:space="0" w:color="auto"/>
              <w:right w:val="single" w:sz="4" w:space="0" w:color="auto"/>
            </w:tcBorders>
            <w:shd w:val="clear" w:color="auto" w:fill="auto"/>
            <w:noWrap/>
            <w:vAlign w:val="center"/>
          </w:tcPr>
          <w:p w14:paraId="218F61B7"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rFonts w:eastAsia="Times New Roman" w:cs="Times New Roman"/>
                <w:b/>
                <w:bCs/>
                <w:color w:val="auto"/>
                <w:sz w:val="16"/>
                <w:szCs w:val="16"/>
                <w:bdr w:val="none" w:sz="0" w:space="0" w:color="auto"/>
                <w:lang w:eastAsia="en-GB"/>
              </w:rPr>
            </w:pPr>
            <w:r w:rsidRPr="00732F02">
              <w:rPr>
                <w:b/>
                <w:bCs/>
                <w:sz w:val="16"/>
                <w:szCs w:val="16"/>
              </w:rPr>
              <w:t>27.958</w:t>
            </w:r>
          </w:p>
        </w:tc>
        <w:tc>
          <w:tcPr>
            <w:tcW w:w="354" w:type="pct"/>
            <w:gridSpan w:val="4"/>
            <w:tcBorders>
              <w:top w:val="nil"/>
              <w:left w:val="nil"/>
              <w:bottom w:val="single" w:sz="4" w:space="0" w:color="auto"/>
              <w:right w:val="single" w:sz="4" w:space="0" w:color="auto"/>
            </w:tcBorders>
            <w:shd w:val="clear" w:color="auto" w:fill="auto"/>
            <w:noWrap/>
            <w:vAlign w:val="center"/>
          </w:tcPr>
          <w:p w14:paraId="14A466C6"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b/>
                <w:bCs/>
                <w:sz w:val="16"/>
                <w:szCs w:val="16"/>
                <w:bdr w:val="none" w:sz="0" w:space="0" w:color="auto"/>
                <w:lang w:eastAsia="en-GB"/>
              </w:rPr>
            </w:pPr>
            <w:r w:rsidRPr="00732F02">
              <w:rPr>
                <w:b/>
                <w:bCs/>
                <w:sz w:val="16"/>
                <w:szCs w:val="16"/>
              </w:rPr>
              <w:t>27,5</w:t>
            </w:r>
          </w:p>
        </w:tc>
        <w:tc>
          <w:tcPr>
            <w:tcW w:w="273" w:type="pct"/>
            <w:gridSpan w:val="3"/>
            <w:tcBorders>
              <w:top w:val="nil"/>
              <w:left w:val="nil"/>
              <w:bottom w:val="single" w:sz="4" w:space="0" w:color="auto"/>
              <w:right w:val="single" w:sz="4" w:space="0" w:color="auto"/>
            </w:tcBorders>
            <w:shd w:val="clear" w:color="auto" w:fill="auto"/>
            <w:vAlign w:val="center"/>
          </w:tcPr>
          <w:p w14:paraId="020783BD"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ind w:left="-177" w:right="-85"/>
              <w:jc w:val="center"/>
              <w:rPr>
                <w:rFonts w:eastAsia="Times New Roman" w:cs="Times New Roman"/>
                <w:b/>
                <w:bCs/>
                <w:color w:val="auto"/>
                <w:sz w:val="16"/>
                <w:szCs w:val="16"/>
                <w:bdr w:val="none" w:sz="0" w:space="0" w:color="auto"/>
                <w:lang w:eastAsia="en-GB"/>
              </w:rPr>
            </w:pPr>
            <w:r w:rsidRPr="00732F02">
              <w:rPr>
                <w:b/>
                <w:bCs/>
                <w:sz w:val="16"/>
                <w:szCs w:val="16"/>
              </w:rPr>
              <w:t>-11.346</w:t>
            </w:r>
          </w:p>
        </w:tc>
        <w:tc>
          <w:tcPr>
            <w:tcW w:w="467" w:type="pct"/>
            <w:gridSpan w:val="3"/>
            <w:tcBorders>
              <w:top w:val="nil"/>
              <w:left w:val="nil"/>
              <w:bottom w:val="single" w:sz="4" w:space="0" w:color="auto"/>
              <w:right w:val="single" w:sz="4" w:space="0" w:color="auto"/>
            </w:tcBorders>
            <w:shd w:val="clear" w:color="auto" w:fill="auto"/>
            <w:vAlign w:val="center"/>
          </w:tcPr>
          <w:p w14:paraId="755599E9"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rFonts w:eastAsia="Times New Roman" w:cs="Times New Roman"/>
                <w:b/>
                <w:bCs/>
                <w:color w:val="auto"/>
                <w:sz w:val="16"/>
                <w:szCs w:val="16"/>
                <w:bdr w:val="none" w:sz="0" w:space="0" w:color="auto"/>
                <w:lang w:eastAsia="en-GB"/>
              </w:rPr>
            </w:pPr>
            <w:r w:rsidRPr="00732F02">
              <w:rPr>
                <w:b/>
                <w:bCs/>
                <w:sz w:val="16"/>
                <w:szCs w:val="16"/>
              </w:rPr>
              <w:t>101.828</w:t>
            </w:r>
          </w:p>
        </w:tc>
        <w:tc>
          <w:tcPr>
            <w:tcW w:w="199" w:type="pct"/>
            <w:gridSpan w:val="2"/>
            <w:tcBorders>
              <w:top w:val="nil"/>
              <w:left w:val="nil"/>
              <w:bottom w:val="single" w:sz="4" w:space="0" w:color="auto"/>
            </w:tcBorders>
            <w:shd w:val="clear" w:color="auto" w:fill="auto"/>
            <w:vAlign w:val="center"/>
          </w:tcPr>
          <w:p w14:paraId="6FFE7EF3" w14:textId="77777777" w:rsidR="00732F02" w:rsidRPr="002E17CB" w:rsidRDefault="00732F02" w:rsidP="003269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5" w:right="-109"/>
              <w:jc w:val="center"/>
              <w:textAlignment w:val="center"/>
              <w:rPr>
                <w:rFonts w:eastAsia="Times New Roman" w:cs="Times New Roman"/>
                <w:b/>
                <w:color w:val="auto"/>
                <w:sz w:val="16"/>
                <w:szCs w:val="16"/>
                <w:bdr w:val="none" w:sz="0" w:space="0" w:color="auto"/>
                <w:vertAlign w:val="superscript"/>
                <w:lang w:eastAsia="en-GB"/>
              </w:rPr>
            </w:pPr>
            <w:r>
              <w:rPr>
                <w:b/>
                <w:bCs/>
                <w:sz w:val="16"/>
                <w:szCs w:val="16"/>
              </w:rPr>
              <w:t>24</w:t>
            </w:r>
            <w:r w:rsidRPr="005C3E23">
              <w:rPr>
                <w:rFonts w:eastAsia="Times New Roman" w:cs="Times New Roman"/>
                <w:b/>
                <w:color w:val="auto"/>
                <w:sz w:val="16"/>
                <w:szCs w:val="16"/>
                <w:bdr w:val="none" w:sz="0" w:space="0" w:color="auto"/>
                <w:vertAlign w:val="superscript"/>
                <w:lang w:eastAsia="en-GB"/>
              </w:rPr>
              <w:t>1</w:t>
            </w:r>
            <w:r>
              <w:rPr>
                <w:rFonts w:eastAsia="Times New Roman" w:cs="Times New Roman"/>
                <w:b/>
                <w:color w:val="auto"/>
                <w:sz w:val="16"/>
                <w:szCs w:val="16"/>
                <w:bdr w:val="none" w:sz="0" w:space="0" w:color="auto"/>
                <w:vertAlign w:val="superscript"/>
                <w:lang w:eastAsia="en-GB"/>
              </w:rPr>
              <w:t>4</w:t>
            </w:r>
          </w:p>
        </w:tc>
      </w:tr>
      <w:tr w:rsidR="00B326C9" w14:paraId="7CC25CB5" w14:textId="77777777" w:rsidTr="00C56F61">
        <w:trPr>
          <w:cantSplit/>
          <w:trHeight w:val="252"/>
        </w:trPr>
        <w:tc>
          <w:tcPr>
            <w:tcW w:w="5000" w:type="pct"/>
            <w:gridSpan w:val="37"/>
            <w:tcBorders>
              <w:top w:val="single" w:sz="4" w:space="0" w:color="auto"/>
              <w:left w:val="nil"/>
              <w:bottom w:val="single" w:sz="4" w:space="0" w:color="auto"/>
            </w:tcBorders>
            <w:shd w:val="clear" w:color="auto" w:fill="auto"/>
            <w:noWrap/>
            <w:vAlign w:val="center"/>
          </w:tcPr>
          <w:p w14:paraId="2116A4F0" w14:textId="77777777" w:rsidR="00B326C9" w:rsidRPr="006A3E4F"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p>
        </w:tc>
      </w:tr>
      <w:tr w:rsidR="00B326C9" w14:paraId="01BD2096" w14:textId="77777777" w:rsidTr="00C56F61">
        <w:trPr>
          <w:cantSplit/>
          <w:trHeight w:val="573"/>
        </w:trPr>
        <w:tc>
          <w:tcPr>
            <w:tcW w:w="5000" w:type="pct"/>
            <w:gridSpan w:val="37"/>
            <w:tcBorders>
              <w:top w:val="single" w:sz="4" w:space="0" w:color="auto"/>
              <w:left w:val="nil"/>
              <w:bottom w:val="single" w:sz="4" w:space="0" w:color="auto"/>
            </w:tcBorders>
            <w:shd w:val="clear" w:color="auto" w:fill="auto"/>
            <w:noWrap/>
            <w:vAlign w:val="center"/>
          </w:tcPr>
          <w:p w14:paraId="476B7D92"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val="en-GB" w:eastAsia="en-GB"/>
              </w:rPr>
            </w:pPr>
            <w:r w:rsidRPr="006A3E4F">
              <w:rPr>
                <w:rFonts w:eastAsia="Times New Roman" w:cs="Times New Roman"/>
                <w:b/>
                <w:bCs/>
                <w:color w:val="auto"/>
                <w:sz w:val="16"/>
                <w:szCs w:val="16"/>
                <w:bdr w:val="none" w:sz="0" w:space="0" w:color="auto"/>
                <w:lang w:eastAsia="en-GB"/>
              </w:rPr>
              <w:t xml:space="preserve">Modalità: </w:t>
            </w:r>
            <w:r>
              <w:rPr>
                <w:rFonts w:eastAsia="Times New Roman" w:cs="Times New Roman"/>
                <w:b/>
                <w:bCs/>
                <w:color w:val="auto"/>
                <w:sz w:val="16"/>
                <w:szCs w:val="16"/>
                <w:bdr w:val="none" w:sz="0" w:space="0" w:color="auto"/>
                <w:lang w:eastAsia="en-GB"/>
              </w:rPr>
              <w:t>RIS</w:t>
            </w:r>
            <w:r w:rsidRPr="00573410">
              <w:rPr>
                <w:rFonts w:eastAsia="Times New Roman" w:cs="Times New Roman"/>
                <w:b/>
                <w:bCs/>
                <w:color w:val="auto"/>
                <w:sz w:val="16"/>
                <w:szCs w:val="16"/>
                <w:bdr w:val="none" w:sz="0" w:space="0" w:color="auto"/>
                <w:vertAlign w:val="superscript"/>
                <w:lang w:eastAsia="en-GB"/>
              </w:rPr>
              <w:t>1</w:t>
            </w:r>
            <w:r>
              <w:rPr>
                <w:rFonts w:eastAsia="Times New Roman" w:cs="Times New Roman"/>
                <w:b/>
                <w:bCs/>
                <w:color w:val="auto"/>
                <w:sz w:val="16"/>
                <w:szCs w:val="16"/>
                <w:bdr w:val="none" w:sz="0" w:space="0" w:color="auto"/>
                <w:vertAlign w:val="superscript"/>
                <w:lang w:eastAsia="en-GB"/>
              </w:rPr>
              <w:t>9</w:t>
            </w:r>
            <w:r>
              <w:rPr>
                <w:rFonts w:eastAsia="Times New Roman" w:cs="Times New Roman"/>
                <w:b/>
                <w:bCs/>
                <w:color w:val="auto"/>
                <w:sz w:val="16"/>
                <w:szCs w:val="16"/>
                <w:bdr w:val="none" w:sz="0" w:space="0" w:color="auto"/>
                <w:lang w:eastAsia="en-GB"/>
              </w:rPr>
              <w:t>/NAVIGAZIONE</w:t>
            </w:r>
            <w:r w:rsidRPr="0031477F">
              <w:rPr>
                <w:rFonts w:eastAsia="Times New Roman" w:cs="Times New Roman"/>
                <w:b/>
                <w:bCs/>
                <w:color w:val="auto"/>
                <w:sz w:val="16"/>
                <w:szCs w:val="16"/>
                <w:bdr w:val="none" w:sz="0" w:space="0" w:color="auto"/>
                <w:lang w:eastAsia="en-GB"/>
              </w:rPr>
              <w:t xml:space="preserve"> INTERNA</w:t>
            </w:r>
          </w:p>
        </w:tc>
      </w:tr>
      <w:tr w:rsidR="00C56F61" w:rsidRPr="00922A9B" w14:paraId="3103F078" w14:textId="77777777" w:rsidTr="00C56F61">
        <w:trPr>
          <w:cantSplit/>
          <w:trHeight w:val="1644"/>
        </w:trPr>
        <w:tc>
          <w:tcPr>
            <w:tcW w:w="230"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4F97C61A" w14:textId="77777777" w:rsidR="00C56F61" w:rsidRPr="006A3E4F"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8C2031">
              <w:rPr>
                <w:rFonts w:eastAsia="Times New Roman" w:cs="Times New Roman"/>
                <w:b/>
                <w:bCs/>
                <w:color w:val="auto"/>
                <w:sz w:val="16"/>
                <w:szCs w:val="16"/>
                <w:bdr w:val="none" w:sz="0" w:space="0" w:color="auto"/>
                <w:lang w:eastAsia="en-GB"/>
              </w:rPr>
              <w:t>a. ID</w:t>
            </w:r>
          </w:p>
        </w:tc>
        <w:tc>
          <w:tcPr>
            <w:tcW w:w="362" w:type="pct"/>
            <w:tcBorders>
              <w:top w:val="single" w:sz="4" w:space="0" w:color="auto"/>
              <w:left w:val="nil"/>
              <w:bottom w:val="single" w:sz="4" w:space="0" w:color="auto"/>
              <w:right w:val="single" w:sz="4" w:space="0" w:color="auto"/>
            </w:tcBorders>
            <w:shd w:val="clear" w:color="auto" w:fill="auto"/>
            <w:textDirection w:val="btLr"/>
            <w:vAlign w:val="center"/>
            <w:hideMark/>
          </w:tcPr>
          <w:p w14:paraId="0C97A25A" w14:textId="77777777" w:rsidR="00C56F61" w:rsidRPr="006A3E4F"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b. Codice </w:t>
            </w:r>
            <w:r w:rsidRPr="002A6033">
              <w:rPr>
                <w:rFonts w:eastAsia="Times New Roman" w:cs="Times New Roman"/>
                <w:b/>
                <w:bCs/>
                <w:color w:val="auto"/>
                <w:sz w:val="16"/>
                <w:szCs w:val="16"/>
                <w:bdr w:val="none" w:sz="0" w:space="0" w:color="auto"/>
                <w:lang w:eastAsia="en-GB"/>
              </w:rPr>
              <w:t>Azione</w:t>
            </w:r>
          </w:p>
        </w:tc>
        <w:tc>
          <w:tcPr>
            <w:tcW w:w="602" w:type="pct"/>
            <w:gridSpan w:val="4"/>
            <w:tcBorders>
              <w:top w:val="single" w:sz="4" w:space="0" w:color="auto"/>
              <w:left w:val="nil"/>
              <w:bottom w:val="single" w:sz="4" w:space="0" w:color="auto"/>
              <w:right w:val="single" w:sz="4" w:space="0" w:color="auto"/>
            </w:tcBorders>
            <w:shd w:val="clear" w:color="auto" w:fill="auto"/>
            <w:textDirection w:val="btLr"/>
            <w:vAlign w:val="center"/>
            <w:hideMark/>
          </w:tcPr>
          <w:p w14:paraId="303C0514" w14:textId="77777777" w:rsidR="00C56F61" w:rsidRPr="006A3E4F"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c. Titolo A</w:t>
            </w:r>
            <w:r w:rsidRPr="002A6033">
              <w:rPr>
                <w:rFonts w:eastAsia="Times New Roman" w:cs="Times New Roman"/>
                <w:b/>
                <w:bCs/>
                <w:color w:val="auto"/>
                <w:sz w:val="16"/>
                <w:szCs w:val="16"/>
                <w:bdr w:val="none" w:sz="0" w:space="0" w:color="auto"/>
                <w:lang w:eastAsia="en-GB"/>
              </w:rPr>
              <w:t>zione</w:t>
            </w:r>
          </w:p>
        </w:tc>
        <w:tc>
          <w:tcPr>
            <w:tcW w:w="225"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099B9474" w14:textId="77777777" w:rsidR="00C56F61" w:rsidRPr="006A3E4F"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d. </w:t>
            </w:r>
            <w:r w:rsidRPr="002A6033">
              <w:rPr>
                <w:rFonts w:eastAsia="Times New Roman" w:cs="Times New Roman"/>
                <w:b/>
                <w:bCs/>
                <w:color w:val="auto"/>
                <w:sz w:val="16"/>
                <w:szCs w:val="16"/>
                <w:bdr w:val="none" w:sz="0" w:space="0" w:color="auto"/>
                <w:lang w:eastAsia="en-GB"/>
              </w:rPr>
              <w:t>Data fine Azione</w:t>
            </w:r>
          </w:p>
        </w:tc>
        <w:tc>
          <w:tcPr>
            <w:tcW w:w="466" w:type="pct"/>
            <w:gridSpan w:val="3"/>
            <w:tcBorders>
              <w:top w:val="nil"/>
              <w:left w:val="nil"/>
              <w:bottom w:val="single" w:sz="4" w:space="0" w:color="auto"/>
              <w:right w:val="single" w:sz="4" w:space="0" w:color="auto"/>
            </w:tcBorders>
            <w:shd w:val="clear" w:color="auto" w:fill="auto"/>
            <w:textDirection w:val="btLr"/>
            <w:vAlign w:val="center"/>
            <w:hideMark/>
          </w:tcPr>
          <w:p w14:paraId="309AE4DB" w14:textId="77777777" w:rsidR="00C56F61" w:rsidRPr="006362D4" w:rsidRDefault="00C56F61" w:rsidP="00E809C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e. Costo Azione IT</w:t>
            </w:r>
          </w:p>
          <w:p w14:paraId="414A80AC"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3</w:t>
            </w:r>
          </w:p>
        </w:tc>
        <w:tc>
          <w:tcPr>
            <w:tcW w:w="464" w:type="pct"/>
            <w:gridSpan w:val="3"/>
            <w:tcBorders>
              <w:top w:val="nil"/>
              <w:left w:val="nil"/>
              <w:bottom w:val="single" w:sz="4" w:space="0" w:color="auto"/>
              <w:right w:val="single" w:sz="4" w:space="0" w:color="auto"/>
            </w:tcBorders>
            <w:shd w:val="clear" w:color="auto" w:fill="auto"/>
            <w:textDirection w:val="btLr"/>
            <w:vAlign w:val="center"/>
            <w:hideMark/>
          </w:tcPr>
          <w:p w14:paraId="62371B87"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f. Contri</w:t>
            </w:r>
            <w:r>
              <w:rPr>
                <w:rFonts w:eastAsia="Times New Roman" w:cs="Times New Roman"/>
                <w:b/>
                <w:bCs/>
                <w:color w:val="auto"/>
                <w:sz w:val="16"/>
                <w:szCs w:val="16"/>
                <w:bdr w:val="none" w:sz="0" w:space="0" w:color="auto"/>
                <w:lang w:eastAsia="en-GB"/>
              </w:rPr>
              <w:t>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4</w:t>
            </w:r>
          </w:p>
        </w:tc>
        <w:tc>
          <w:tcPr>
            <w:tcW w:w="489" w:type="pct"/>
            <w:gridSpan w:val="5"/>
            <w:tcBorders>
              <w:top w:val="nil"/>
              <w:left w:val="nil"/>
              <w:bottom w:val="single" w:sz="4" w:space="0" w:color="auto"/>
              <w:right w:val="single" w:sz="4" w:space="0" w:color="auto"/>
            </w:tcBorders>
            <w:shd w:val="clear" w:color="auto" w:fill="auto"/>
            <w:textDirection w:val="btLr"/>
            <w:vAlign w:val="center"/>
            <w:hideMark/>
          </w:tcPr>
          <w:p w14:paraId="7727EA19"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g. Costo totale Azione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5</w:t>
            </w:r>
          </w:p>
        </w:tc>
        <w:tc>
          <w:tcPr>
            <w:tcW w:w="468" w:type="pct"/>
            <w:gridSpan w:val="3"/>
            <w:tcBorders>
              <w:top w:val="nil"/>
              <w:left w:val="nil"/>
              <w:bottom w:val="single" w:sz="4" w:space="0" w:color="auto"/>
              <w:right w:val="single" w:sz="4" w:space="0" w:color="auto"/>
            </w:tcBorders>
            <w:shd w:val="clear" w:color="auto" w:fill="auto"/>
            <w:textDirection w:val="btLr"/>
            <w:vAlign w:val="center"/>
            <w:hideMark/>
          </w:tcPr>
          <w:p w14:paraId="514CBC0A"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h. Contributo</w:t>
            </w:r>
            <w:r>
              <w:rPr>
                <w:rFonts w:eastAsia="Times New Roman" w:cs="Times New Roman"/>
                <w:b/>
                <w:bCs/>
                <w:color w:val="auto"/>
                <w:sz w:val="16"/>
                <w:szCs w:val="16"/>
                <w:bdr w:val="none" w:sz="0" w:space="0" w:color="auto"/>
                <w:lang w:eastAsia="en-GB"/>
              </w:rPr>
              <w:t xml:space="preserve"> comunitario totale assegnato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6</w:t>
            </w:r>
          </w:p>
        </w:tc>
        <w:tc>
          <w:tcPr>
            <w:tcW w:w="411" w:type="pct"/>
            <w:gridSpan w:val="4"/>
            <w:tcBorders>
              <w:top w:val="nil"/>
              <w:left w:val="nil"/>
              <w:bottom w:val="single" w:sz="4" w:space="0" w:color="auto"/>
              <w:right w:val="single" w:sz="4" w:space="0" w:color="auto"/>
            </w:tcBorders>
            <w:shd w:val="clear" w:color="auto" w:fill="auto"/>
            <w:textDirection w:val="btLr"/>
            <w:vAlign w:val="center"/>
            <w:hideMark/>
          </w:tcPr>
          <w:p w14:paraId="07D6A853"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i. Totale contributo comunitar</w:t>
            </w:r>
            <w:r>
              <w:rPr>
                <w:rFonts w:eastAsia="Times New Roman" w:cs="Times New Roman"/>
                <w:b/>
                <w:bCs/>
                <w:color w:val="auto"/>
                <w:sz w:val="16"/>
                <w:szCs w:val="16"/>
                <w:bdr w:val="none" w:sz="0" w:space="0" w:color="auto"/>
                <w:lang w:eastAsia="en-GB"/>
              </w:rPr>
              <w:t>io incassato IT al 30.04.2020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7</w:t>
            </w:r>
          </w:p>
        </w:tc>
        <w:tc>
          <w:tcPr>
            <w:tcW w:w="333" w:type="pct"/>
            <w:gridSpan w:val="2"/>
            <w:tcBorders>
              <w:top w:val="nil"/>
              <w:left w:val="nil"/>
              <w:bottom w:val="single" w:sz="4" w:space="0" w:color="auto"/>
              <w:right w:val="single" w:sz="4" w:space="0" w:color="auto"/>
            </w:tcBorders>
            <w:shd w:val="clear" w:color="auto" w:fill="auto"/>
            <w:textDirection w:val="btLr"/>
            <w:vAlign w:val="center"/>
            <w:hideMark/>
          </w:tcPr>
          <w:p w14:paraId="51041FB7"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 xml:space="preserve">j. Contributo incassato rispetto al contributo assegnato </w:t>
            </w:r>
            <w:proofErr w:type="gramStart"/>
            <w:r w:rsidRPr="006362D4">
              <w:rPr>
                <w:rFonts w:eastAsia="Times New Roman" w:cs="Times New Roman"/>
                <w:b/>
                <w:bCs/>
                <w:color w:val="auto"/>
                <w:sz w:val="16"/>
                <w:szCs w:val="16"/>
                <w:bdr w:val="none" w:sz="0" w:space="0" w:color="auto"/>
                <w:lang w:eastAsia="en-GB"/>
              </w:rPr>
              <w:t>IT(</w:t>
            </w:r>
            <w:proofErr w:type="gramEnd"/>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8</w:t>
            </w:r>
          </w:p>
        </w:tc>
        <w:tc>
          <w:tcPr>
            <w:tcW w:w="265" w:type="pct"/>
            <w:gridSpan w:val="3"/>
            <w:tcBorders>
              <w:top w:val="nil"/>
              <w:left w:val="nil"/>
              <w:bottom w:val="single" w:sz="4" w:space="0" w:color="auto"/>
              <w:right w:val="single" w:sz="4" w:space="0" w:color="auto"/>
            </w:tcBorders>
            <w:shd w:val="clear" w:color="auto" w:fill="auto"/>
            <w:textDirection w:val="btLr"/>
            <w:vAlign w:val="center"/>
            <w:hideMark/>
          </w:tcPr>
          <w:p w14:paraId="264185BA"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k. Varia</w:t>
            </w:r>
            <w:r>
              <w:rPr>
                <w:rFonts w:eastAsia="Times New Roman" w:cs="Times New Roman"/>
                <w:b/>
                <w:bCs/>
                <w:color w:val="auto"/>
                <w:sz w:val="16"/>
                <w:szCs w:val="16"/>
                <w:bdr w:val="none" w:sz="0" w:space="0" w:color="auto"/>
                <w:lang w:eastAsia="en-GB"/>
              </w:rPr>
              <w:t>zione contributo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9</w:t>
            </w:r>
          </w:p>
        </w:tc>
        <w:tc>
          <w:tcPr>
            <w:tcW w:w="424" w:type="pct"/>
            <w:gridSpan w:val="3"/>
            <w:tcBorders>
              <w:top w:val="nil"/>
              <w:left w:val="nil"/>
              <w:bottom w:val="single" w:sz="4" w:space="0" w:color="auto"/>
              <w:right w:val="single" w:sz="4" w:space="0" w:color="auto"/>
            </w:tcBorders>
            <w:shd w:val="clear" w:color="auto" w:fill="auto"/>
            <w:textDirection w:val="btLr"/>
            <w:vAlign w:val="center"/>
            <w:hideMark/>
          </w:tcPr>
          <w:p w14:paraId="3AB3E6AB"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l. Importo speso IT al 31/12/</w:t>
            </w:r>
            <w:proofErr w:type="gramStart"/>
            <w:r w:rsidRPr="006362D4">
              <w:rPr>
                <w:rFonts w:eastAsia="Times New Roman" w:cs="Times New Roman"/>
                <w:b/>
                <w:bCs/>
                <w:color w:val="auto"/>
                <w:sz w:val="16"/>
                <w:szCs w:val="16"/>
                <w:bdr w:val="none" w:sz="0" w:space="0" w:color="auto"/>
                <w:lang w:eastAsia="en-GB"/>
              </w:rPr>
              <w:t>1</w:t>
            </w:r>
            <w:r>
              <w:rPr>
                <w:rFonts w:eastAsia="Times New Roman" w:cs="Times New Roman"/>
                <w:b/>
                <w:bCs/>
                <w:color w:val="auto"/>
                <w:sz w:val="16"/>
                <w:szCs w:val="16"/>
                <w:bdr w:val="none" w:sz="0" w:space="0" w:color="auto"/>
                <w:lang w:eastAsia="en-GB"/>
              </w:rPr>
              <w:t>9  incluse</w:t>
            </w:r>
            <w:proofErr w:type="gramEnd"/>
            <w:r>
              <w:rPr>
                <w:rFonts w:eastAsia="Times New Roman" w:cs="Times New Roman"/>
                <w:b/>
                <w:bCs/>
                <w:color w:val="auto"/>
                <w:sz w:val="16"/>
                <w:szCs w:val="16"/>
                <w:bdr w:val="none" w:sz="0" w:space="0" w:color="auto"/>
                <w:lang w:eastAsia="en-GB"/>
              </w:rPr>
              <w:t xml:space="preserve"> le quote nazionali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10</w:t>
            </w:r>
          </w:p>
        </w:tc>
        <w:tc>
          <w:tcPr>
            <w:tcW w:w="261" w:type="pct"/>
            <w:gridSpan w:val="3"/>
            <w:tcBorders>
              <w:top w:val="nil"/>
              <w:left w:val="nil"/>
              <w:bottom w:val="single" w:sz="4" w:space="0" w:color="auto"/>
            </w:tcBorders>
            <w:shd w:val="clear" w:color="auto" w:fill="auto"/>
            <w:textDirection w:val="btLr"/>
            <w:vAlign w:val="center"/>
            <w:hideMark/>
          </w:tcPr>
          <w:p w14:paraId="22A50D82"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eastAsia="en-GB"/>
              </w:rPr>
              <w:t>m. Avanzamento %</w:t>
            </w:r>
            <w:r w:rsidRPr="006362D4">
              <w:rPr>
                <w:rFonts w:eastAsia="Times New Roman" w:cs="Times New Roman"/>
                <w:b/>
                <w:bCs/>
                <w:color w:val="auto"/>
                <w:sz w:val="16"/>
                <w:szCs w:val="16"/>
                <w:bdr w:val="none" w:sz="0" w:space="0" w:color="auto"/>
                <w:vertAlign w:val="superscript"/>
                <w:lang w:eastAsia="en-GB"/>
              </w:rPr>
              <w:t>11</w:t>
            </w:r>
          </w:p>
        </w:tc>
      </w:tr>
      <w:tr w:rsidR="00B326C9" w:rsidRPr="00922A9B" w14:paraId="0889F3BB" w14:textId="77777777" w:rsidTr="00C56F61">
        <w:trPr>
          <w:trHeight w:val="550"/>
        </w:trPr>
        <w:tc>
          <w:tcPr>
            <w:tcW w:w="230" w:type="pct"/>
            <w:tcBorders>
              <w:top w:val="nil"/>
              <w:left w:val="nil"/>
              <w:bottom w:val="single" w:sz="4" w:space="0" w:color="auto"/>
              <w:right w:val="single" w:sz="4" w:space="0" w:color="auto"/>
            </w:tcBorders>
            <w:shd w:val="clear" w:color="auto" w:fill="auto"/>
            <w:noWrap/>
            <w:vAlign w:val="center"/>
            <w:hideMark/>
          </w:tcPr>
          <w:p w14:paraId="7F2D06E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p>
        </w:tc>
        <w:tc>
          <w:tcPr>
            <w:tcW w:w="362" w:type="pct"/>
            <w:tcBorders>
              <w:top w:val="nil"/>
              <w:left w:val="nil"/>
              <w:bottom w:val="single" w:sz="4" w:space="0" w:color="auto"/>
              <w:right w:val="single" w:sz="4" w:space="0" w:color="auto"/>
            </w:tcBorders>
            <w:shd w:val="clear" w:color="auto" w:fill="auto"/>
            <w:vAlign w:val="center"/>
            <w:hideMark/>
          </w:tcPr>
          <w:p w14:paraId="7D6FC268"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0" w:right="-17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2014-IT-TM-0319</w:t>
            </w:r>
          </w:p>
          <w:p w14:paraId="438209F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0" w:right="-17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r w:rsidR="00081D00">
              <w:rPr>
                <w:rFonts w:eastAsia="Times New Roman" w:cs="Times New Roman"/>
                <w:color w:val="auto"/>
                <w:sz w:val="16"/>
                <w:szCs w:val="16"/>
                <w:bdr w:val="none" w:sz="0" w:space="0" w:color="auto"/>
                <w:vertAlign w:val="superscript"/>
                <w:lang w:val="en-GB" w:eastAsia="en-GB"/>
              </w:rPr>
              <w:t>13</w:t>
            </w:r>
          </w:p>
        </w:tc>
        <w:tc>
          <w:tcPr>
            <w:tcW w:w="602" w:type="pct"/>
            <w:gridSpan w:val="4"/>
            <w:tcBorders>
              <w:top w:val="nil"/>
              <w:left w:val="nil"/>
              <w:bottom w:val="single" w:sz="4" w:space="0" w:color="auto"/>
              <w:right w:val="single" w:sz="4" w:space="0" w:color="auto"/>
            </w:tcBorders>
            <w:shd w:val="clear" w:color="auto" w:fill="auto"/>
            <w:vAlign w:val="center"/>
            <w:hideMark/>
          </w:tcPr>
          <w:p w14:paraId="6EC612A3" w14:textId="77777777" w:rsidR="00B326C9" w:rsidRPr="00B70F83" w:rsidRDefault="00B326C9" w:rsidP="00642353">
            <w:pPr>
              <w:pBdr>
                <w:top w:val="none" w:sz="0" w:space="0" w:color="auto"/>
                <w:left w:val="none" w:sz="0" w:space="0" w:color="auto"/>
                <w:bottom w:val="none" w:sz="0" w:space="0" w:color="auto"/>
                <w:right w:val="none" w:sz="0" w:space="0" w:color="auto"/>
                <w:between w:val="none" w:sz="0" w:space="0" w:color="auto"/>
                <w:bar w:val="none" w:sz="0" w:color="auto"/>
              </w:pBdr>
              <w:ind w:left="-44" w:right="-87"/>
              <w:rPr>
                <w:rFonts w:eastAsia="Times New Roman" w:cs="Times New Roman"/>
                <w:color w:val="auto"/>
                <w:sz w:val="16"/>
                <w:szCs w:val="16"/>
                <w:bdr w:val="none" w:sz="0" w:space="0" w:color="auto"/>
                <w:lang w:eastAsia="en-GB"/>
              </w:rPr>
            </w:pPr>
            <w:r w:rsidRPr="00644727">
              <w:rPr>
                <w:rFonts w:eastAsia="Times New Roman" w:cs="Times New Roman"/>
                <w:color w:val="000000" w:themeColor="text1"/>
                <w:sz w:val="16"/>
                <w:szCs w:val="16"/>
                <w:bdr w:val="none" w:sz="0" w:space="0" w:color="auto"/>
                <w:lang w:eastAsia="en-GB"/>
              </w:rPr>
              <w:t xml:space="preserve">RIS II: Studio per il </w:t>
            </w:r>
            <w:r w:rsidR="00FB4B03" w:rsidRPr="00644727">
              <w:rPr>
                <w:rFonts w:eastAsia="Times New Roman" w:cs="Times New Roman"/>
                <w:color w:val="000000" w:themeColor="text1"/>
                <w:sz w:val="16"/>
                <w:szCs w:val="16"/>
                <w:bdr w:val="none" w:sz="0" w:space="0" w:color="auto"/>
                <w:lang w:eastAsia="en-GB"/>
              </w:rPr>
              <w:t>miglioramento</w:t>
            </w:r>
            <w:r w:rsidRPr="00644727">
              <w:rPr>
                <w:rFonts w:eastAsia="Times New Roman" w:cs="Times New Roman"/>
                <w:color w:val="000000" w:themeColor="text1"/>
                <w:sz w:val="16"/>
                <w:szCs w:val="16"/>
                <w:bdr w:val="none" w:sz="0" w:space="0" w:color="auto"/>
                <w:lang w:eastAsia="en-GB"/>
              </w:rPr>
              <w:t xml:space="preserve"> degli standard </w:t>
            </w:r>
            <w:r w:rsidRPr="00922A9B">
              <w:rPr>
                <w:rFonts w:eastAsia="Times New Roman" w:cs="Times New Roman"/>
                <w:color w:val="auto"/>
                <w:sz w:val="16"/>
                <w:szCs w:val="16"/>
                <w:bdr w:val="none" w:sz="0" w:space="0" w:color="auto"/>
                <w:lang w:eastAsia="en-GB"/>
              </w:rPr>
              <w:t>e delle interconnessioni dei sistemi nazionali del RIS</w:t>
            </w:r>
          </w:p>
        </w:tc>
        <w:tc>
          <w:tcPr>
            <w:tcW w:w="225" w:type="pct"/>
            <w:gridSpan w:val="2"/>
            <w:tcBorders>
              <w:top w:val="nil"/>
              <w:left w:val="nil"/>
              <w:bottom w:val="single" w:sz="4" w:space="0" w:color="auto"/>
              <w:right w:val="single" w:sz="4" w:space="0" w:color="auto"/>
            </w:tcBorders>
            <w:shd w:val="clear" w:color="auto" w:fill="auto"/>
            <w:noWrap/>
            <w:textDirection w:val="btLr"/>
            <w:vAlign w:val="center"/>
            <w:hideMark/>
          </w:tcPr>
          <w:p w14:paraId="3FC5EE5A"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30/06/18</w:t>
            </w:r>
          </w:p>
        </w:tc>
        <w:tc>
          <w:tcPr>
            <w:tcW w:w="466" w:type="pct"/>
            <w:gridSpan w:val="3"/>
            <w:tcBorders>
              <w:top w:val="nil"/>
              <w:left w:val="nil"/>
              <w:bottom w:val="single" w:sz="4" w:space="0" w:color="auto"/>
              <w:right w:val="single" w:sz="4" w:space="0" w:color="auto"/>
            </w:tcBorders>
            <w:shd w:val="clear" w:color="auto" w:fill="auto"/>
            <w:noWrap/>
            <w:vAlign w:val="center"/>
            <w:hideMark/>
          </w:tcPr>
          <w:p w14:paraId="2755C55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2.377 </w:t>
            </w:r>
          </w:p>
        </w:tc>
        <w:tc>
          <w:tcPr>
            <w:tcW w:w="464" w:type="pct"/>
            <w:gridSpan w:val="3"/>
            <w:tcBorders>
              <w:top w:val="nil"/>
              <w:left w:val="nil"/>
              <w:bottom w:val="single" w:sz="4" w:space="0" w:color="auto"/>
              <w:right w:val="single" w:sz="4" w:space="0" w:color="auto"/>
            </w:tcBorders>
            <w:shd w:val="clear" w:color="auto" w:fill="auto"/>
            <w:noWrap/>
            <w:vAlign w:val="center"/>
            <w:hideMark/>
          </w:tcPr>
          <w:p w14:paraId="208081D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1.189 </w:t>
            </w:r>
          </w:p>
        </w:tc>
        <w:tc>
          <w:tcPr>
            <w:tcW w:w="489" w:type="pct"/>
            <w:gridSpan w:val="5"/>
            <w:tcBorders>
              <w:top w:val="nil"/>
              <w:left w:val="nil"/>
              <w:bottom w:val="single" w:sz="4" w:space="0" w:color="auto"/>
              <w:right w:val="single" w:sz="4" w:space="0" w:color="auto"/>
            </w:tcBorders>
            <w:shd w:val="clear" w:color="auto" w:fill="auto"/>
            <w:noWrap/>
            <w:vAlign w:val="center"/>
            <w:hideMark/>
          </w:tcPr>
          <w:p w14:paraId="7D0293E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2.377 </w:t>
            </w:r>
          </w:p>
        </w:tc>
        <w:tc>
          <w:tcPr>
            <w:tcW w:w="468" w:type="pct"/>
            <w:gridSpan w:val="3"/>
            <w:tcBorders>
              <w:top w:val="nil"/>
              <w:left w:val="nil"/>
              <w:bottom w:val="single" w:sz="4" w:space="0" w:color="auto"/>
              <w:right w:val="single" w:sz="4" w:space="0" w:color="auto"/>
            </w:tcBorders>
            <w:shd w:val="clear" w:color="auto" w:fill="auto"/>
            <w:noWrap/>
            <w:vAlign w:val="center"/>
            <w:hideMark/>
          </w:tcPr>
          <w:p w14:paraId="66F22EC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1.189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73FAA61E" w14:textId="77777777" w:rsidR="00B326C9" w:rsidRPr="00922A9B" w:rsidRDefault="0022412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32F02">
              <w:rPr>
                <w:color w:val="auto"/>
                <w:sz w:val="16"/>
                <w:szCs w:val="16"/>
              </w:rPr>
              <w:t>1.189</w:t>
            </w:r>
          </w:p>
        </w:tc>
        <w:tc>
          <w:tcPr>
            <w:tcW w:w="333" w:type="pct"/>
            <w:gridSpan w:val="2"/>
            <w:tcBorders>
              <w:top w:val="nil"/>
              <w:left w:val="nil"/>
              <w:bottom w:val="single" w:sz="4" w:space="0" w:color="auto"/>
              <w:right w:val="single" w:sz="4" w:space="0" w:color="auto"/>
            </w:tcBorders>
            <w:shd w:val="clear" w:color="auto" w:fill="auto"/>
            <w:noWrap/>
            <w:vAlign w:val="center"/>
          </w:tcPr>
          <w:p w14:paraId="71C3D4D1" w14:textId="77777777" w:rsidR="00B326C9" w:rsidRPr="00922A9B" w:rsidRDefault="00952D8A" w:rsidP="00952D8A">
            <w:pPr>
              <w:pBdr>
                <w:top w:val="none" w:sz="0" w:space="0" w:color="auto"/>
                <w:left w:val="none" w:sz="0" w:space="0" w:color="auto"/>
                <w:bottom w:val="none" w:sz="0" w:space="0" w:color="auto"/>
                <w:right w:val="none" w:sz="0" w:space="0" w:color="auto"/>
                <w:between w:val="none" w:sz="0" w:space="0" w:color="auto"/>
                <w:bar w:val="none" w:sz="0" w:color="auto"/>
              </w:pBdr>
              <w:ind w:left="-97" w:right="-115"/>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100,0</w:t>
            </w:r>
          </w:p>
        </w:tc>
        <w:tc>
          <w:tcPr>
            <w:tcW w:w="265" w:type="pct"/>
            <w:gridSpan w:val="3"/>
            <w:tcBorders>
              <w:top w:val="nil"/>
              <w:left w:val="nil"/>
              <w:bottom w:val="single" w:sz="4" w:space="0" w:color="auto"/>
              <w:right w:val="single" w:sz="4" w:space="0" w:color="auto"/>
            </w:tcBorders>
            <w:shd w:val="clear" w:color="auto" w:fill="auto"/>
            <w:vAlign w:val="center"/>
            <w:hideMark/>
          </w:tcPr>
          <w:p w14:paraId="00C842F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- 6</w:t>
            </w:r>
          </w:p>
        </w:tc>
        <w:tc>
          <w:tcPr>
            <w:tcW w:w="424" w:type="pct"/>
            <w:gridSpan w:val="3"/>
            <w:tcBorders>
              <w:top w:val="nil"/>
              <w:left w:val="nil"/>
              <w:bottom w:val="single" w:sz="4" w:space="0" w:color="auto"/>
              <w:right w:val="single" w:sz="4" w:space="0" w:color="auto"/>
            </w:tcBorders>
            <w:shd w:val="clear" w:color="auto" w:fill="auto"/>
            <w:vAlign w:val="center"/>
            <w:hideMark/>
          </w:tcPr>
          <w:p w14:paraId="1DBD22D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2.382 </w:t>
            </w:r>
          </w:p>
        </w:tc>
        <w:tc>
          <w:tcPr>
            <w:tcW w:w="261" w:type="pct"/>
            <w:gridSpan w:val="3"/>
            <w:tcBorders>
              <w:top w:val="nil"/>
              <w:left w:val="nil"/>
              <w:bottom w:val="single" w:sz="4" w:space="0" w:color="auto"/>
            </w:tcBorders>
            <w:shd w:val="clear" w:color="auto" w:fill="auto"/>
            <w:vAlign w:val="center"/>
            <w:hideMark/>
          </w:tcPr>
          <w:p w14:paraId="7BEE85A5" w14:textId="77777777" w:rsidR="00B326C9" w:rsidRPr="00922A9B" w:rsidRDefault="00B326C9"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99"/>
              <w:jc w:val="center"/>
              <w:rPr>
                <w:rFonts w:eastAsia="Times New Roman" w:cs="Times New Roman"/>
                <w:color w:val="auto"/>
                <w:sz w:val="16"/>
                <w:szCs w:val="16"/>
                <w:bdr w:val="none" w:sz="0" w:space="0" w:color="auto"/>
                <w:lang w:val="en-GB" w:eastAsia="en-GB"/>
              </w:rPr>
            </w:pPr>
            <w:r>
              <w:rPr>
                <w:sz w:val="16"/>
                <w:szCs w:val="16"/>
              </w:rPr>
              <w:t>100</w:t>
            </w:r>
          </w:p>
        </w:tc>
      </w:tr>
      <w:tr w:rsidR="00B326C9" w:rsidRPr="00922A9B" w14:paraId="11FD1596" w14:textId="77777777" w:rsidTr="00C56F61">
        <w:trPr>
          <w:trHeight w:val="1072"/>
        </w:trPr>
        <w:tc>
          <w:tcPr>
            <w:tcW w:w="230" w:type="pct"/>
            <w:tcBorders>
              <w:top w:val="nil"/>
              <w:left w:val="nil"/>
              <w:bottom w:val="single" w:sz="4" w:space="0" w:color="auto"/>
              <w:right w:val="single" w:sz="4" w:space="0" w:color="auto"/>
            </w:tcBorders>
            <w:shd w:val="clear" w:color="auto" w:fill="auto"/>
            <w:noWrap/>
            <w:vAlign w:val="center"/>
            <w:hideMark/>
          </w:tcPr>
          <w:p w14:paraId="2F5814A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w:t>
            </w:r>
          </w:p>
        </w:tc>
        <w:tc>
          <w:tcPr>
            <w:tcW w:w="362" w:type="pct"/>
            <w:tcBorders>
              <w:top w:val="nil"/>
              <w:left w:val="nil"/>
              <w:bottom w:val="single" w:sz="4" w:space="0" w:color="auto"/>
              <w:right w:val="single" w:sz="4" w:space="0" w:color="auto"/>
            </w:tcBorders>
            <w:shd w:val="clear" w:color="auto" w:fill="auto"/>
            <w:vAlign w:val="center"/>
            <w:hideMark/>
          </w:tcPr>
          <w:p w14:paraId="611CAAE6"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0" w:right="-175"/>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2014-IT-TM-0543</w:t>
            </w:r>
          </w:p>
          <w:p w14:paraId="23D512C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100"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602" w:type="pct"/>
            <w:gridSpan w:val="4"/>
            <w:tcBorders>
              <w:top w:val="nil"/>
              <w:left w:val="nil"/>
              <w:bottom w:val="single" w:sz="4" w:space="0" w:color="auto"/>
              <w:right w:val="single" w:sz="4" w:space="0" w:color="auto"/>
            </w:tcBorders>
            <w:shd w:val="clear" w:color="auto" w:fill="auto"/>
            <w:vAlign w:val="center"/>
            <w:hideMark/>
          </w:tcPr>
          <w:p w14:paraId="403EDC66" w14:textId="77777777" w:rsidR="00B326C9" w:rsidRPr="00B70F83"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INIWAS: Miglioramento del Sistema Idroviario del Nord Italia.</w:t>
            </w:r>
          </w:p>
        </w:tc>
        <w:tc>
          <w:tcPr>
            <w:tcW w:w="225" w:type="pct"/>
            <w:gridSpan w:val="2"/>
            <w:tcBorders>
              <w:top w:val="nil"/>
              <w:left w:val="nil"/>
              <w:bottom w:val="single" w:sz="4" w:space="0" w:color="auto"/>
              <w:right w:val="single" w:sz="4" w:space="0" w:color="auto"/>
            </w:tcBorders>
            <w:shd w:val="clear" w:color="auto" w:fill="auto"/>
            <w:noWrap/>
            <w:textDirection w:val="btLr"/>
            <w:vAlign w:val="center"/>
            <w:hideMark/>
          </w:tcPr>
          <w:p w14:paraId="469A090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w:t>
            </w:r>
            <w:r>
              <w:rPr>
                <w:rFonts w:eastAsia="Times New Roman" w:cs="Times New Roman"/>
                <w:color w:val="auto"/>
                <w:sz w:val="16"/>
                <w:szCs w:val="16"/>
                <w:bdr w:val="none" w:sz="0" w:space="0" w:color="auto"/>
                <w:lang w:val="en-GB" w:eastAsia="en-GB"/>
              </w:rPr>
              <w:t>20</w:t>
            </w:r>
          </w:p>
        </w:tc>
        <w:tc>
          <w:tcPr>
            <w:tcW w:w="466" w:type="pct"/>
            <w:gridSpan w:val="3"/>
            <w:tcBorders>
              <w:top w:val="nil"/>
              <w:left w:val="nil"/>
              <w:bottom w:val="single" w:sz="4" w:space="0" w:color="auto"/>
              <w:right w:val="single" w:sz="4" w:space="0" w:color="auto"/>
            </w:tcBorders>
            <w:shd w:val="clear" w:color="auto" w:fill="auto"/>
            <w:noWrap/>
            <w:vAlign w:val="center"/>
            <w:hideMark/>
          </w:tcPr>
          <w:p w14:paraId="1E5A02F4"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41.929</w:t>
            </w:r>
          </w:p>
        </w:tc>
        <w:tc>
          <w:tcPr>
            <w:tcW w:w="464" w:type="pct"/>
            <w:gridSpan w:val="3"/>
            <w:tcBorders>
              <w:top w:val="nil"/>
              <w:left w:val="nil"/>
              <w:bottom w:val="single" w:sz="4" w:space="0" w:color="auto"/>
              <w:right w:val="single" w:sz="4" w:space="0" w:color="auto"/>
            </w:tcBorders>
            <w:shd w:val="clear" w:color="auto" w:fill="auto"/>
            <w:noWrap/>
            <w:vAlign w:val="center"/>
            <w:hideMark/>
          </w:tcPr>
          <w:p w14:paraId="7E300C3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8.386</w:t>
            </w:r>
          </w:p>
        </w:tc>
        <w:tc>
          <w:tcPr>
            <w:tcW w:w="489" w:type="pct"/>
            <w:gridSpan w:val="5"/>
            <w:tcBorders>
              <w:top w:val="nil"/>
              <w:left w:val="nil"/>
              <w:bottom w:val="single" w:sz="4" w:space="0" w:color="auto"/>
              <w:right w:val="single" w:sz="4" w:space="0" w:color="auto"/>
            </w:tcBorders>
            <w:shd w:val="clear" w:color="auto" w:fill="auto"/>
            <w:noWrap/>
            <w:vAlign w:val="center"/>
            <w:hideMark/>
          </w:tcPr>
          <w:p w14:paraId="1450FE4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41.929</w:t>
            </w:r>
          </w:p>
        </w:tc>
        <w:tc>
          <w:tcPr>
            <w:tcW w:w="468" w:type="pct"/>
            <w:gridSpan w:val="3"/>
            <w:tcBorders>
              <w:top w:val="nil"/>
              <w:left w:val="nil"/>
              <w:bottom w:val="single" w:sz="4" w:space="0" w:color="auto"/>
              <w:right w:val="single" w:sz="4" w:space="0" w:color="auto"/>
            </w:tcBorders>
            <w:shd w:val="clear" w:color="auto" w:fill="auto"/>
            <w:noWrap/>
            <w:vAlign w:val="center"/>
            <w:hideMark/>
          </w:tcPr>
          <w:p w14:paraId="0236FC0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8.386</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126F480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7.029</w:t>
            </w:r>
          </w:p>
        </w:tc>
        <w:tc>
          <w:tcPr>
            <w:tcW w:w="333" w:type="pct"/>
            <w:gridSpan w:val="2"/>
            <w:tcBorders>
              <w:top w:val="nil"/>
              <w:left w:val="nil"/>
              <w:bottom w:val="single" w:sz="4" w:space="0" w:color="auto"/>
              <w:right w:val="single" w:sz="4" w:space="0" w:color="auto"/>
            </w:tcBorders>
            <w:shd w:val="clear" w:color="auto" w:fill="auto"/>
            <w:noWrap/>
            <w:vAlign w:val="center"/>
            <w:hideMark/>
          </w:tcPr>
          <w:p w14:paraId="522BD458"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97" w:right="-115"/>
              <w:jc w:val="center"/>
              <w:rPr>
                <w:rFonts w:eastAsia="Times New Roman" w:cs="Times New Roman"/>
                <w:color w:val="auto"/>
                <w:sz w:val="16"/>
                <w:szCs w:val="16"/>
                <w:bdr w:val="none" w:sz="0" w:space="0" w:color="auto"/>
                <w:lang w:val="en-GB" w:eastAsia="en-GB"/>
              </w:rPr>
            </w:pPr>
            <w:r>
              <w:rPr>
                <w:sz w:val="16"/>
                <w:szCs w:val="16"/>
              </w:rPr>
              <w:t xml:space="preserve"> 83,8</w:t>
            </w:r>
          </w:p>
        </w:tc>
        <w:tc>
          <w:tcPr>
            <w:tcW w:w="265" w:type="pct"/>
            <w:gridSpan w:val="3"/>
            <w:tcBorders>
              <w:top w:val="nil"/>
              <w:left w:val="nil"/>
              <w:bottom w:val="single" w:sz="4" w:space="0" w:color="auto"/>
              <w:right w:val="single" w:sz="4" w:space="0" w:color="auto"/>
            </w:tcBorders>
            <w:shd w:val="clear" w:color="auto" w:fill="auto"/>
            <w:vAlign w:val="center"/>
            <w:hideMark/>
          </w:tcPr>
          <w:p w14:paraId="767E1898" w14:textId="77777777" w:rsidR="00B326C9" w:rsidRPr="00922A9B" w:rsidRDefault="00B326C9" w:rsidP="00420A1A">
            <w:pPr>
              <w:pBdr>
                <w:top w:val="none" w:sz="0" w:space="0" w:color="auto"/>
                <w:left w:val="none" w:sz="0" w:space="0" w:color="auto"/>
                <w:bottom w:val="none" w:sz="0" w:space="0" w:color="auto"/>
                <w:right w:val="none" w:sz="0" w:space="0" w:color="auto"/>
                <w:between w:val="none" w:sz="0" w:space="0" w:color="auto"/>
                <w:bar w:val="none" w:sz="0" w:color="auto"/>
              </w:pBdr>
              <w:ind w:left="-95" w:right="-16" w:firstLine="95"/>
              <w:jc w:val="right"/>
              <w:rPr>
                <w:rFonts w:eastAsia="Times New Roman" w:cs="Times New Roman"/>
                <w:color w:val="auto"/>
                <w:sz w:val="16"/>
                <w:szCs w:val="16"/>
                <w:bdr w:val="none" w:sz="0" w:space="0" w:color="auto"/>
                <w:lang w:val="en-GB" w:eastAsia="en-GB"/>
              </w:rPr>
            </w:pPr>
            <w:r>
              <w:rPr>
                <w:sz w:val="16"/>
                <w:szCs w:val="16"/>
              </w:rPr>
              <w:t xml:space="preserve"> -897</w:t>
            </w:r>
          </w:p>
        </w:tc>
        <w:tc>
          <w:tcPr>
            <w:tcW w:w="424" w:type="pct"/>
            <w:gridSpan w:val="3"/>
            <w:tcBorders>
              <w:top w:val="nil"/>
              <w:left w:val="nil"/>
              <w:bottom w:val="single" w:sz="4" w:space="0" w:color="auto"/>
              <w:right w:val="single" w:sz="4" w:space="0" w:color="auto"/>
            </w:tcBorders>
            <w:shd w:val="clear" w:color="auto" w:fill="auto"/>
            <w:vAlign w:val="center"/>
            <w:hideMark/>
          </w:tcPr>
          <w:p w14:paraId="5E827D3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sz w:val="16"/>
                <w:szCs w:val="16"/>
              </w:rPr>
              <w:t xml:space="preserve"> 38.073</w:t>
            </w:r>
          </w:p>
        </w:tc>
        <w:tc>
          <w:tcPr>
            <w:tcW w:w="261" w:type="pct"/>
            <w:gridSpan w:val="3"/>
            <w:tcBorders>
              <w:top w:val="nil"/>
              <w:left w:val="nil"/>
              <w:bottom w:val="single" w:sz="4" w:space="0" w:color="auto"/>
            </w:tcBorders>
            <w:shd w:val="clear" w:color="auto" w:fill="auto"/>
            <w:vAlign w:val="center"/>
            <w:hideMark/>
          </w:tcPr>
          <w:p w14:paraId="4F0BC7CE" w14:textId="77777777" w:rsidR="00B326C9" w:rsidRPr="00922A9B"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99"/>
              <w:jc w:val="center"/>
              <w:rPr>
                <w:rFonts w:eastAsia="Times New Roman" w:cs="Times New Roman"/>
                <w:color w:val="auto"/>
                <w:sz w:val="16"/>
                <w:szCs w:val="16"/>
                <w:bdr w:val="none" w:sz="0" w:space="0" w:color="auto"/>
                <w:lang w:val="en-GB" w:eastAsia="en-GB"/>
              </w:rPr>
            </w:pPr>
            <w:r>
              <w:rPr>
                <w:sz w:val="16"/>
                <w:szCs w:val="16"/>
              </w:rPr>
              <w:t>91</w:t>
            </w:r>
          </w:p>
        </w:tc>
      </w:tr>
      <w:tr w:rsidR="00B326C9" w:rsidRPr="00B83310" w14:paraId="7DD28B8D" w14:textId="77777777" w:rsidTr="00C56F61">
        <w:trPr>
          <w:trHeight w:val="714"/>
        </w:trPr>
        <w:tc>
          <w:tcPr>
            <w:tcW w:w="1419" w:type="pct"/>
            <w:gridSpan w:val="8"/>
            <w:tcBorders>
              <w:top w:val="single" w:sz="4" w:space="0" w:color="auto"/>
              <w:left w:val="nil"/>
              <w:bottom w:val="single" w:sz="4" w:space="0" w:color="auto"/>
              <w:right w:val="single" w:sz="4" w:space="0" w:color="auto"/>
            </w:tcBorders>
            <w:shd w:val="clear" w:color="auto" w:fill="auto"/>
            <w:noWrap/>
            <w:vAlign w:val="center"/>
            <w:hideMark/>
          </w:tcPr>
          <w:p w14:paraId="3531D69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34" w:right="-252"/>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Subtotale m</w:t>
            </w:r>
            <w:r w:rsidRPr="006A3E4F">
              <w:rPr>
                <w:rFonts w:eastAsia="Times New Roman" w:cs="Times New Roman"/>
                <w:b/>
                <w:bCs/>
                <w:color w:val="auto"/>
                <w:sz w:val="16"/>
                <w:szCs w:val="16"/>
                <w:bdr w:val="none" w:sz="0" w:space="0" w:color="auto"/>
                <w:lang w:eastAsia="en-GB"/>
              </w:rPr>
              <w:t>odalit</w:t>
            </w:r>
            <w:r>
              <w:rPr>
                <w:rFonts w:eastAsia="Times New Roman" w:cs="Times New Roman"/>
                <w:b/>
                <w:bCs/>
                <w:color w:val="auto"/>
                <w:sz w:val="16"/>
                <w:szCs w:val="16"/>
                <w:bdr w:val="none" w:sz="0" w:space="0" w:color="auto"/>
                <w:lang w:eastAsia="en-GB"/>
              </w:rPr>
              <w:t>à</w:t>
            </w:r>
          </w:p>
          <w:p w14:paraId="54030493"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left="34" w:right="-252"/>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RIS</w:t>
            </w:r>
            <w:r w:rsidRPr="008A76C4">
              <w:rPr>
                <w:rFonts w:eastAsia="Times New Roman" w:cs="Times New Roman"/>
                <w:b/>
                <w:bCs/>
                <w:color w:val="auto"/>
                <w:sz w:val="16"/>
                <w:szCs w:val="16"/>
                <w:bdr w:val="none" w:sz="0" w:space="0" w:color="auto"/>
                <w:vertAlign w:val="superscript"/>
                <w:lang w:eastAsia="en-GB"/>
              </w:rPr>
              <w:t>19</w:t>
            </w:r>
            <w:r>
              <w:rPr>
                <w:rFonts w:eastAsia="Times New Roman" w:cs="Times New Roman"/>
                <w:b/>
                <w:bCs/>
                <w:color w:val="auto"/>
                <w:sz w:val="16"/>
                <w:szCs w:val="16"/>
                <w:bdr w:val="none" w:sz="0" w:space="0" w:color="auto"/>
                <w:lang w:eastAsia="en-GB"/>
              </w:rPr>
              <w:t>/NAVIGAZIONE</w:t>
            </w:r>
            <w:r w:rsidRPr="0031477F">
              <w:rPr>
                <w:rFonts w:eastAsia="Times New Roman" w:cs="Times New Roman"/>
                <w:b/>
                <w:bCs/>
                <w:color w:val="auto"/>
                <w:sz w:val="16"/>
                <w:szCs w:val="16"/>
                <w:bdr w:val="none" w:sz="0" w:space="0" w:color="auto"/>
                <w:lang w:eastAsia="en-GB"/>
              </w:rPr>
              <w:t xml:space="preserve"> INTERNA</w:t>
            </w:r>
          </w:p>
        </w:tc>
        <w:tc>
          <w:tcPr>
            <w:tcW w:w="466" w:type="pct"/>
            <w:gridSpan w:val="3"/>
            <w:tcBorders>
              <w:top w:val="single" w:sz="4" w:space="0" w:color="auto"/>
              <w:left w:val="nil"/>
              <w:bottom w:val="single" w:sz="4" w:space="0" w:color="auto"/>
              <w:right w:val="single" w:sz="4" w:space="0" w:color="auto"/>
            </w:tcBorders>
            <w:shd w:val="clear" w:color="auto" w:fill="auto"/>
            <w:noWrap/>
            <w:vAlign w:val="center"/>
          </w:tcPr>
          <w:p w14:paraId="12D35671"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b/>
                <w:bCs/>
                <w:sz w:val="16"/>
                <w:szCs w:val="16"/>
              </w:rPr>
              <w:t>44.306</w:t>
            </w:r>
          </w:p>
        </w:tc>
        <w:tc>
          <w:tcPr>
            <w:tcW w:w="464" w:type="pct"/>
            <w:gridSpan w:val="3"/>
            <w:tcBorders>
              <w:top w:val="single" w:sz="4" w:space="0" w:color="auto"/>
              <w:left w:val="nil"/>
              <w:bottom w:val="single" w:sz="4" w:space="0" w:color="auto"/>
              <w:right w:val="single" w:sz="4" w:space="0" w:color="auto"/>
            </w:tcBorders>
            <w:shd w:val="clear" w:color="auto" w:fill="auto"/>
            <w:noWrap/>
            <w:vAlign w:val="center"/>
          </w:tcPr>
          <w:p w14:paraId="50A7FB20"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b/>
                <w:bCs/>
                <w:sz w:val="16"/>
                <w:szCs w:val="16"/>
              </w:rPr>
              <w:t xml:space="preserve"> 9.574</w:t>
            </w:r>
          </w:p>
        </w:tc>
        <w:tc>
          <w:tcPr>
            <w:tcW w:w="489" w:type="pct"/>
            <w:gridSpan w:val="5"/>
            <w:tcBorders>
              <w:top w:val="single" w:sz="4" w:space="0" w:color="auto"/>
              <w:left w:val="nil"/>
              <w:bottom w:val="single" w:sz="4" w:space="0" w:color="auto"/>
              <w:right w:val="single" w:sz="4" w:space="0" w:color="auto"/>
            </w:tcBorders>
            <w:shd w:val="clear" w:color="auto" w:fill="auto"/>
            <w:noWrap/>
            <w:vAlign w:val="center"/>
          </w:tcPr>
          <w:p w14:paraId="5759DEC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b/>
                <w:bCs/>
                <w:sz w:val="16"/>
                <w:szCs w:val="16"/>
              </w:rPr>
              <w:t>44.306</w:t>
            </w:r>
          </w:p>
        </w:tc>
        <w:tc>
          <w:tcPr>
            <w:tcW w:w="468" w:type="pct"/>
            <w:gridSpan w:val="3"/>
            <w:tcBorders>
              <w:top w:val="single" w:sz="4" w:space="0" w:color="auto"/>
              <w:left w:val="nil"/>
              <w:bottom w:val="single" w:sz="4" w:space="0" w:color="auto"/>
              <w:right w:val="single" w:sz="4" w:space="0" w:color="auto"/>
            </w:tcBorders>
            <w:shd w:val="clear" w:color="auto" w:fill="auto"/>
            <w:noWrap/>
            <w:vAlign w:val="center"/>
          </w:tcPr>
          <w:p w14:paraId="2DC5590F"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b/>
                <w:bCs/>
                <w:sz w:val="16"/>
                <w:szCs w:val="16"/>
              </w:rPr>
              <w:t xml:space="preserve"> 9.574</w:t>
            </w:r>
          </w:p>
        </w:tc>
        <w:tc>
          <w:tcPr>
            <w:tcW w:w="411" w:type="pct"/>
            <w:gridSpan w:val="4"/>
            <w:tcBorders>
              <w:top w:val="single" w:sz="4" w:space="0" w:color="auto"/>
              <w:left w:val="nil"/>
              <w:bottom w:val="single" w:sz="4" w:space="0" w:color="auto"/>
              <w:right w:val="single" w:sz="4" w:space="0" w:color="auto"/>
            </w:tcBorders>
            <w:shd w:val="clear" w:color="auto" w:fill="auto"/>
            <w:noWrap/>
            <w:vAlign w:val="center"/>
          </w:tcPr>
          <w:p w14:paraId="06F64E39" w14:textId="77777777" w:rsidR="00B326C9" w:rsidRPr="00922A9B" w:rsidRDefault="0022412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b/>
                <w:bCs/>
                <w:sz w:val="16"/>
                <w:szCs w:val="16"/>
              </w:rPr>
              <w:t xml:space="preserve"> 8.218</w:t>
            </w:r>
          </w:p>
        </w:tc>
        <w:tc>
          <w:tcPr>
            <w:tcW w:w="333" w:type="pct"/>
            <w:gridSpan w:val="2"/>
            <w:tcBorders>
              <w:top w:val="single" w:sz="4" w:space="0" w:color="auto"/>
              <w:left w:val="nil"/>
              <w:bottom w:val="single" w:sz="4" w:space="0" w:color="auto"/>
              <w:right w:val="single" w:sz="4" w:space="0" w:color="auto"/>
            </w:tcBorders>
            <w:shd w:val="clear" w:color="auto" w:fill="auto"/>
            <w:noWrap/>
            <w:vAlign w:val="center"/>
          </w:tcPr>
          <w:p w14:paraId="322395E8" w14:textId="77777777" w:rsidR="00B326C9" w:rsidRPr="00AD39B7" w:rsidRDefault="003A29A5" w:rsidP="00B326C9">
            <w:pPr>
              <w:pBdr>
                <w:top w:val="none" w:sz="0" w:space="0" w:color="auto"/>
                <w:left w:val="none" w:sz="0" w:space="0" w:color="auto"/>
                <w:bottom w:val="none" w:sz="0" w:space="0" w:color="auto"/>
                <w:right w:val="none" w:sz="0" w:space="0" w:color="auto"/>
                <w:between w:val="none" w:sz="0" w:space="0" w:color="auto"/>
                <w:bar w:val="none" w:sz="0" w:color="auto"/>
              </w:pBdr>
              <w:ind w:right="-108"/>
              <w:jc w:val="center"/>
              <w:rPr>
                <w:rFonts w:eastAsia="Times New Roman"/>
                <w:b/>
                <w:sz w:val="16"/>
                <w:szCs w:val="16"/>
                <w:bdr w:val="none" w:sz="0" w:space="0" w:color="auto"/>
                <w:lang w:val="en-GB" w:eastAsia="en-GB"/>
              </w:rPr>
            </w:pPr>
            <w:r>
              <w:rPr>
                <w:b/>
                <w:sz w:val="16"/>
                <w:szCs w:val="16"/>
              </w:rPr>
              <w:t xml:space="preserve"> 85,8</w:t>
            </w:r>
          </w:p>
        </w:tc>
        <w:tc>
          <w:tcPr>
            <w:tcW w:w="265" w:type="pct"/>
            <w:gridSpan w:val="3"/>
            <w:tcBorders>
              <w:top w:val="single" w:sz="4" w:space="0" w:color="auto"/>
              <w:left w:val="nil"/>
              <w:bottom w:val="single" w:sz="4" w:space="0" w:color="auto"/>
              <w:right w:val="single" w:sz="4" w:space="0" w:color="auto"/>
            </w:tcBorders>
            <w:shd w:val="clear" w:color="auto" w:fill="auto"/>
            <w:vAlign w:val="center"/>
          </w:tcPr>
          <w:p w14:paraId="1A3ABDC6" w14:textId="77777777" w:rsidR="00B326C9" w:rsidRPr="00922A9B" w:rsidRDefault="00B326C9" w:rsidP="00420A1A">
            <w:pPr>
              <w:pBdr>
                <w:top w:val="none" w:sz="0" w:space="0" w:color="auto"/>
                <w:left w:val="none" w:sz="0" w:space="0" w:color="auto"/>
                <w:bottom w:val="none" w:sz="0" w:space="0" w:color="auto"/>
                <w:right w:val="none" w:sz="0" w:space="0" w:color="auto"/>
                <w:between w:val="none" w:sz="0" w:space="0" w:color="auto"/>
                <w:bar w:val="none" w:sz="0" w:color="auto"/>
              </w:pBdr>
              <w:ind w:left="-86" w:right="-3"/>
              <w:jc w:val="right"/>
              <w:rPr>
                <w:rFonts w:eastAsia="Times New Roman" w:cs="Times New Roman"/>
                <w:b/>
                <w:bCs/>
                <w:color w:val="auto"/>
                <w:sz w:val="16"/>
                <w:szCs w:val="16"/>
                <w:bdr w:val="none" w:sz="0" w:space="0" w:color="auto"/>
                <w:lang w:val="en-GB" w:eastAsia="en-GB"/>
              </w:rPr>
            </w:pPr>
            <w:r>
              <w:rPr>
                <w:b/>
                <w:bCs/>
                <w:sz w:val="16"/>
                <w:szCs w:val="16"/>
              </w:rPr>
              <w:t xml:space="preserve"> -903</w:t>
            </w:r>
          </w:p>
        </w:tc>
        <w:tc>
          <w:tcPr>
            <w:tcW w:w="424" w:type="pct"/>
            <w:gridSpan w:val="3"/>
            <w:tcBorders>
              <w:top w:val="single" w:sz="4" w:space="0" w:color="auto"/>
              <w:left w:val="nil"/>
              <w:bottom w:val="single" w:sz="4" w:space="0" w:color="auto"/>
              <w:right w:val="single" w:sz="4" w:space="0" w:color="auto"/>
            </w:tcBorders>
            <w:shd w:val="clear" w:color="auto" w:fill="auto"/>
            <w:vAlign w:val="center"/>
          </w:tcPr>
          <w:p w14:paraId="5A8F1C43" w14:textId="77777777" w:rsidR="00B326C9" w:rsidRPr="00922A9B" w:rsidRDefault="003A29A5"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b/>
                <w:bCs/>
                <w:sz w:val="16"/>
                <w:szCs w:val="16"/>
              </w:rPr>
              <w:t>40.456</w:t>
            </w:r>
          </w:p>
        </w:tc>
        <w:tc>
          <w:tcPr>
            <w:tcW w:w="261" w:type="pct"/>
            <w:gridSpan w:val="3"/>
            <w:tcBorders>
              <w:top w:val="single" w:sz="4" w:space="0" w:color="auto"/>
              <w:left w:val="nil"/>
              <w:bottom w:val="single" w:sz="4" w:space="0" w:color="auto"/>
            </w:tcBorders>
            <w:shd w:val="clear" w:color="auto" w:fill="auto"/>
            <w:vAlign w:val="center"/>
          </w:tcPr>
          <w:p w14:paraId="3F3C0D2F" w14:textId="77777777" w:rsidR="00B326C9" w:rsidRPr="00BD5453" w:rsidRDefault="0075574C"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99"/>
              <w:jc w:val="center"/>
              <w:rPr>
                <w:rFonts w:eastAsia="Times New Roman" w:cs="Times New Roman"/>
                <w:b/>
                <w:bCs/>
                <w:color w:val="auto"/>
                <w:sz w:val="16"/>
                <w:szCs w:val="16"/>
                <w:bdr w:val="none" w:sz="0" w:space="0" w:color="auto"/>
                <w:lang w:val="en-GB" w:eastAsia="en-GB"/>
              </w:rPr>
            </w:pPr>
            <w:r>
              <w:rPr>
                <w:b/>
                <w:bCs/>
                <w:sz w:val="16"/>
                <w:szCs w:val="16"/>
              </w:rPr>
              <w:t>91</w:t>
            </w:r>
            <w:r w:rsidR="00B326C9" w:rsidRPr="005C3E23">
              <w:rPr>
                <w:rFonts w:eastAsia="Times New Roman" w:cs="Times New Roman"/>
                <w:b/>
                <w:color w:val="auto"/>
                <w:sz w:val="16"/>
                <w:szCs w:val="16"/>
                <w:bdr w:val="none" w:sz="0" w:space="0" w:color="auto"/>
                <w:vertAlign w:val="superscript"/>
                <w:lang w:eastAsia="en-GB"/>
              </w:rPr>
              <w:t>1</w:t>
            </w:r>
            <w:r w:rsidR="00B326C9">
              <w:rPr>
                <w:rFonts w:eastAsia="Times New Roman" w:cs="Times New Roman"/>
                <w:b/>
                <w:color w:val="auto"/>
                <w:sz w:val="16"/>
                <w:szCs w:val="16"/>
                <w:bdr w:val="none" w:sz="0" w:space="0" w:color="auto"/>
                <w:vertAlign w:val="superscript"/>
                <w:lang w:eastAsia="en-GB"/>
              </w:rPr>
              <w:t>4</w:t>
            </w:r>
          </w:p>
        </w:tc>
      </w:tr>
      <w:tr w:rsidR="00B326C9" w:rsidRPr="00A46849" w14:paraId="78FAF476" w14:textId="77777777" w:rsidTr="00C56F61">
        <w:trPr>
          <w:cantSplit/>
          <w:trHeight w:val="397"/>
        </w:trPr>
        <w:tc>
          <w:tcPr>
            <w:tcW w:w="5000" w:type="pct"/>
            <w:gridSpan w:val="37"/>
            <w:tcBorders>
              <w:top w:val="single" w:sz="4" w:space="0" w:color="auto"/>
              <w:left w:val="nil"/>
              <w:bottom w:val="single" w:sz="4" w:space="0" w:color="auto"/>
            </w:tcBorders>
            <w:shd w:val="clear" w:color="auto" w:fill="auto"/>
            <w:noWrap/>
            <w:vAlign w:val="center"/>
          </w:tcPr>
          <w:p w14:paraId="1140AB5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p>
        </w:tc>
      </w:tr>
      <w:tr w:rsidR="00B326C9" w:rsidRPr="00A46849" w14:paraId="4F68AD39" w14:textId="77777777" w:rsidTr="00C56F61">
        <w:trPr>
          <w:cantSplit/>
          <w:trHeight w:val="397"/>
        </w:trPr>
        <w:tc>
          <w:tcPr>
            <w:tcW w:w="5000" w:type="pct"/>
            <w:gridSpan w:val="37"/>
            <w:tcBorders>
              <w:top w:val="single" w:sz="4" w:space="0" w:color="auto"/>
              <w:left w:val="nil"/>
              <w:bottom w:val="single" w:sz="4" w:space="0" w:color="auto"/>
            </w:tcBorders>
            <w:shd w:val="clear" w:color="auto" w:fill="auto"/>
            <w:noWrap/>
            <w:vAlign w:val="center"/>
          </w:tcPr>
          <w:p w14:paraId="4E813F5D" w14:textId="77777777" w:rsidR="00B326C9"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922A9B">
              <w:rPr>
                <w:rFonts w:eastAsia="Times New Roman" w:cs="Times New Roman"/>
                <w:b/>
                <w:bCs/>
                <w:color w:val="auto"/>
                <w:sz w:val="16"/>
                <w:szCs w:val="16"/>
                <w:bdr w:val="none" w:sz="0" w:space="0" w:color="auto"/>
                <w:lang w:eastAsia="en-GB"/>
              </w:rPr>
              <w:t xml:space="preserve">Modalità: </w:t>
            </w:r>
            <w:r w:rsidRPr="005B2739">
              <w:rPr>
                <w:rFonts w:eastAsia="Times New Roman" w:cs="Times New Roman"/>
                <w:b/>
                <w:color w:val="auto"/>
                <w:sz w:val="16"/>
                <w:szCs w:val="16"/>
                <w:bdr w:val="none" w:sz="0" w:space="0" w:color="auto"/>
                <w:lang w:eastAsia="en-GB"/>
              </w:rPr>
              <w:t>ATM</w:t>
            </w:r>
            <w:r>
              <w:rPr>
                <w:rFonts w:eastAsia="Times New Roman" w:cs="Times New Roman"/>
                <w:b/>
                <w:color w:val="auto"/>
                <w:sz w:val="16"/>
                <w:szCs w:val="16"/>
                <w:bdr w:val="none" w:sz="0" w:space="0" w:color="auto"/>
                <w:vertAlign w:val="superscript"/>
                <w:lang w:eastAsia="en-GB"/>
              </w:rPr>
              <w:t>20</w:t>
            </w:r>
            <w:r w:rsidRPr="005B2739">
              <w:rPr>
                <w:rFonts w:eastAsia="Times New Roman" w:cs="Times New Roman"/>
                <w:b/>
                <w:color w:val="auto"/>
                <w:sz w:val="16"/>
                <w:szCs w:val="16"/>
                <w:bdr w:val="none" w:sz="0" w:space="0" w:color="auto"/>
                <w:lang w:eastAsia="en-GB"/>
              </w:rPr>
              <w:t>/NAVIGAZIONE AEREA</w:t>
            </w:r>
          </w:p>
        </w:tc>
      </w:tr>
      <w:tr w:rsidR="00C56F61" w:rsidRPr="00A46849" w14:paraId="6F16FE1A" w14:textId="77777777" w:rsidTr="00C56F61">
        <w:trPr>
          <w:cantSplit/>
          <w:trHeight w:val="1797"/>
        </w:trPr>
        <w:tc>
          <w:tcPr>
            <w:tcW w:w="230" w:type="pct"/>
            <w:tcBorders>
              <w:top w:val="single" w:sz="4" w:space="0" w:color="auto"/>
              <w:left w:val="nil"/>
              <w:bottom w:val="single" w:sz="4" w:space="0" w:color="auto"/>
              <w:right w:val="single" w:sz="4" w:space="0" w:color="auto"/>
            </w:tcBorders>
            <w:shd w:val="clear" w:color="auto" w:fill="auto"/>
            <w:noWrap/>
            <w:textDirection w:val="btLr"/>
            <w:vAlign w:val="center"/>
          </w:tcPr>
          <w:p w14:paraId="7DCA46C2"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8C2031">
              <w:rPr>
                <w:rFonts w:eastAsia="Times New Roman" w:cs="Times New Roman"/>
                <w:b/>
                <w:bCs/>
                <w:color w:val="auto"/>
                <w:sz w:val="16"/>
                <w:szCs w:val="16"/>
                <w:bdr w:val="none" w:sz="0" w:space="0" w:color="auto"/>
                <w:lang w:eastAsia="en-GB"/>
              </w:rPr>
              <w:t>a. ID</w:t>
            </w:r>
          </w:p>
        </w:tc>
        <w:tc>
          <w:tcPr>
            <w:tcW w:w="371"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540985A0"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b. Codice </w:t>
            </w:r>
            <w:r w:rsidRPr="002A6033">
              <w:rPr>
                <w:rFonts w:eastAsia="Times New Roman" w:cs="Times New Roman"/>
                <w:b/>
                <w:bCs/>
                <w:color w:val="auto"/>
                <w:sz w:val="16"/>
                <w:szCs w:val="16"/>
                <w:bdr w:val="none" w:sz="0" w:space="0" w:color="auto"/>
                <w:lang w:eastAsia="en-GB"/>
              </w:rPr>
              <w:t>Azione</w:t>
            </w:r>
          </w:p>
        </w:tc>
        <w:tc>
          <w:tcPr>
            <w:tcW w:w="587"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0C581C6D"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c. Titolo A</w:t>
            </w:r>
            <w:r w:rsidRPr="002A6033">
              <w:rPr>
                <w:rFonts w:eastAsia="Times New Roman" w:cs="Times New Roman"/>
                <w:b/>
                <w:bCs/>
                <w:color w:val="auto"/>
                <w:sz w:val="16"/>
                <w:szCs w:val="16"/>
                <w:bdr w:val="none" w:sz="0" w:space="0" w:color="auto"/>
                <w:lang w:eastAsia="en-GB"/>
              </w:rPr>
              <w:t>zione</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tcPr>
          <w:p w14:paraId="2B473826"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d. </w:t>
            </w:r>
            <w:r w:rsidRPr="002A6033">
              <w:rPr>
                <w:rFonts w:eastAsia="Times New Roman" w:cs="Times New Roman"/>
                <w:b/>
                <w:bCs/>
                <w:color w:val="auto"/>
                <w:sz w:val="16"/>
                <w:szCs w:val="16"/>
                <w:bdr w:val="none" w:sz="0" w:space="0" w:color="auto"/>
                <w:lang w:eastAsia="en-GB"/>
              </w:rPr>
              <w:t>Data fine Azione</w:t>
            </w:r>
          </w:p>
        </w:tc>
        <w:tc>
          <w:tcPr>
            <w:tcW w:w="392"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6641C645" w14:textId="77777777" w:rsidR="00C56F61" w:rsidRPr="006362D4" w:rsidRDefault="00C56F61" w:rsidP="00E809C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e. Costo Azione IT</w:t>
            </w:r>
          </w:p>
          <w:p w14:paraId="04603550"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3</w:t>
            </w:r>
          </w:p>
        </w:tc>
        <w:tc>
          <w:tcPr>
            <w:tcW w:w="522"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79E9F548"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f. Contri</w:t>
            </w:r>
            <w:r>
              <w:rPr>
                <w:rFonts w:eastAsia="Times New Roman" w:cs="Times New Roman"/>
                <w:b/>
                <w:bCs/>
                <w:color w:val="auto"/>
                <w:sz w:val="16"/>
                <w:szCs w:val="16"/>
                <w:bdr w:val="none" w:sz="0" w:space="0" w:color="auto"/>
                <w:lang w:eastAsia="en-GB"/>
              </w:rPr>
              <w:t>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4</w:t>
            </w:r>
          </w:p>
        </w:tc>
        <w:tc>
          <w:tcPr>
            <w:tcW w:w="505" w:type="pct"/>
            <w:gridSpan w:val="5"/>
            <w:tcBorders>
              <w:top w:val="single" w:sz="4" w:space="0" w:color="auto"/>
              <w:left w:val="nil"/>
              <w:bottom w:val="single" w:sz="4" w:space="0" w:color="auto"/>
              <w:right w:val="single" w:sz="4" w:space="0" w:color="auto"/>
            </w:tcBorders>
            <w:shd w:val="clear" w:color="auto" w:fill="auto"/>
            <w:textDirection w:val="btLr"/>
            <w:vAlign w:val="center"/>
          </w:tcPr>
          <w:p w14:paraId="1F73C657"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g. Costo totale Azione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5</w:t>
            </w:r>
          </w:p>
        </w:tc>
        <w:tc>
          <w:tcPr>
            <w:tcW w:w="479"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378CC2C2"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h. Contributo</w:t>
            </w:r>
            <w:r>
              <w:rPr>
                <w:rFonts w:eastAsia="Times New Roman" w:cs="Times New Roman"/>
                <w:b/>
                <w:bCs/>
                <w:color w:val="auto"/>
                <w:sz w:val="16"/>
                <w:szCs w:val="16"/>
                <w:bdr w:val="none" w:sz="0" w:space="0" w:color="auto"/>
                <w:lang w:eastAsia="en-GB"/>
              </w:rPr>
              <w:t xml:space="preserve"> comunitario totale assegnato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6</w:t>
            </w:r>
          </w:p>
        </w:tc>
        <w:tc>
          <w:tcPr>
            <w:tcW w:w="411"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2E186D6F"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i. Totale contributo comunitar</w:t>
            </w:r>
            <w:r>
              <w:rPr>
                <w:rFonts w:eastAsia="Times New Roman" w:cs="Times New Roman"/>
                <w:b/>
                <w:bCs/>
                <w:color w:val="auto"/>
                <w:sz w:val="16"/>
                <w:szCs w:val="16"/>
                <w:bdr w:val="none" w:sz="0" w:space="0" w:color="auto"/>
                <w:lang w:eastAsia="en-GB"/>
              </w:rPr>
              <w:t>io incassato IT al 30.04.2020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7</w:t>
            </w:r>
          </w:p>
        </w:tc>
        <w:tc>
          <w:tcPr>
            <w:tcW w:w="344"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7A2B16CF"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 xml:space="preserve">j. Contributo incassato rispetto al contributo assegnato </w:t>
            </w:r>
            <w:proofErr w:type="gramStart"/>
            <w:r w:rsidRPr="006362D4">
              <w:rPr>
                <w:rFonts w:eastAsia="Times New Roman" w:cs="Times New Roman"/>
                <w:b/>
                <w:bCs/>
                <w:color w:val="auto"/>
                <w:sz w:val="16"/>
                <w:szCs w:val="16"/>
                <w:bdr w:val="none" w:sz="0" w:space="0" w:color="auto"/>
                <w:lang w:eastAsia="en-GB"/>
              </w:rPr>
              <w:t>IT(</w:t>
            </w:r>
            <w:proofErr w:type="gramEnd"/>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8</w:t>
            </w:r>
          </w:p>
        </w:tc>
        <w:tc>
          <w:tcPr>
            <w:tcW w:w="273"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6216FB15"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k. Varia</w:t>
            </w:r>
            <w:r>
              <w:rPr>
                <w:rFonts w:eastAsia="Times New Roman" w:cs="Times New Roman"/>
                <w:b/>
                <w:bCs/>
                <w:color w:val="auto"/>
                <w:sz w:val="16"/>
                <w:szCs w:val="16"/>
                <w:bdr w:val="none" w:sz="0" w:space="0" w:color="auto"/>
                <w:lang w:eastAsia="en-GB"/>
              </w:rPr>
              <w:t>zione contributo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9</w:t>
            </w:r>
          </w:p>
        </w:tc>
        <w:tc>
          <w:tcPr>
            <w:tcW w:w="467"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26AB4672"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l. Importo speso IT al 31/12/</w:t>
            </w:r>
            <w:proofErr w:type="gramStart"/>
            <w:r w:rsidRPr="006362D4">
              <w:rPr>
                <w:rFonts w:eastAsia="Times New Roman" w:cs="Times New Roman"/>
                <w:b/>
                <w:bCs/>
                <w:color w:val="auto"/>
                <w:sz w:val="16"/>
                <w:szCs w:val="16"/>
                <w:bdr w:val="none" w:sz="0" w:space="0" w:color="auto"/>
                <w:lang w:eastAsia="en-GB"/>
              </w:rPr>
              <w:t>1</w:t>
            </w:r>
            <w:r>
              <w:rPr>
                <w:rFonts w:eastAsia="Times New Roman" w:cs="Times New Roman"/>
                <w:b/>
                <w:bCs/>
                <w:color w:val="auto"/>
                <w:sz w:val="16"/>
                <w:szCs w:val="16"/>
                <w:bdr w:val="none" w:sz="0" w:space="0" w:color="auto"/>
                <w:lang w:eastAsia="en-GB"/>
              </w:rPr>
              <w:t>9  incluse</w:t>
            </w:r>
            <w:proofErr w:type="gramEnd"/>
            <w:r>
              <w:rPr>
                <w:rFonts w:eastAsia="Times New Roman" w:cs="Times New Roman"/>
                <w:b/>
                <w:bCs/>
                <w:color w:val="auto"/>
                <w:sz w:val="16"/>
                <w:szCs w:val="16"/>
                <w:bdr w:val="none" w:sz="0" w:space="0" w:color="auto"/>
                <w:lang w:eastAsia="en-GB"/>
              </w:rPr>
              <w:t xml:space="preserve"> le quote nazionali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10</w:t>
            </w:r>
          </w:p>
        </w:tc>
        <w:tc>
          <w:tcPr>
            <w:tcW w:w="199" w:type="pct"/>
            <w:gridSpan w:val="2"/>
            <w:tcBorders>
              <w:top w:val="single" w:sz="4" w:space="0" w:color="auto"/>
              <w:left w:val="nil"/>
              <w:bottom w:val="single" w:sz="4" w:space="0" w:color="auto"/>
            </w:tcBorders>
            <w:shd w:val="clear" w:color="auto" w:fill="auto"/>
            <w:textDirection w:val="btLr"/>
            <w:vAlign w:val="center"/>
          </w:tcPr>
          <w:p w14:paraId="13BA59E2" w14:textId="77777777" w:rsidR="00C56F61" w:rsidRPr="00A46849"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m. Avanzamento %</w:t>
            </w:r>
            <w:r w:rsidRPr="006362D4">
              <w:rPr>
                <w:rFonts w:eastAsia="Times New Roman" w:cs="Times New Roman"/>
                <w:b/>
                <w:bCs/>
                <w:color w:val="auto"/>
                <w:sz w:val="16"/>
                <w:szCs w:val="16"/>
                <w:bdr w:val="none" w:sz="0" w:space="0" w:color="auto"/>
                <w:vertAlign w:val="superscript"/>
                <w:lang w:eastAsia="en-GB"/>
              </w:rPr>
              <w:t>11</w:t>
            </w:r>
          </w:p>
        </w:tc>
      </w:tr>
      <w:tr w:rsidR="00420A1A" w:rsidRPr="00922A9B" w14:paraId="4B0B17A2" w14:textId="77777777" w:rsidTr="00C56F61">
        <w:trPr>
          <w:trHeight w:val="1971"/>
        </w:trPr>
        <w:tc>
          <w:tcPr>
            <w:tcW w:w="230" w:type="pct"/>
            <w:tcBorders>
              <w:top w:val="nil"/>
              <w:left w:val="nil"/>
              <w:bottom w:val="single" w:sz="4" w:space="0" w:color="auto"/>
              <w:right w:val="single" w:sz="4" w:space="0" w:color="auto"/>
            </w:tcBorders>
            <w:shd w:val="clear" w:color="auto" w:fill="auto"/>
            <w:noWrap/>
            <w:vAlign w:val="center"/>
            <w:hideMark/>
          </w:tcPr>
          <w:p w14:paraId="601F24D4"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1</w:t>
            </w:r>
          </w:p>
        </w:tc>
        <w:tc>
          <w:tcPr>
            <w:tcW w:w="371" w:type="pct"/>
            <w:gridSpan w:val="2"/>
            <w:tcBorders>
              <w:top w:val="nil"/>
              <w:left w:val="nil"/>
              <w:bottom w:val="single" w:sz="4" w:space="0" w:color="auto"/>
              <w:right w:val="single" w:sz="4" w:space="0" w:color="auto"/>
            </w:tcBorders>
            <w:shd w:val="clear" w:color="auto" w:fill="auto"/>
            <w:vAlign w:val="center"/>
            <w:hideMark/>
          </w:tcPr>
          <w:p w14:paraId="25D4BCBF"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2014-EU-TM-0136</w:t>
            </w:r>
          </w:p>
          <w:p w14:paraId="6D59BC28"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nil"/>
              <w:left w:val="nil"/>
              <w:bottom w:val="single" w:sz="4" w:space="0" w:color="auto"/>
              <w:right w:val="single" w:sz="4" w:space="0" w:color="auto"/>
            </w:tcBorders>
            <w:shd w:val="clear" w:color="auto" w:fill="auto"/>
            <w:vAlign w:val="center"/>
            <w:hideMark/>
          </w:tcPr>
          <w:p w14:paraId="26944364"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ight="-21"/>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SESAR – </w:t>
            </w:r>
            <w:r w:rsidRPr="00922A9B">
              <w:rPr>
                <w:rFonts w:eastAsia="Times New Roman" w:cs="Times New Roman"/>
                <w:color w:val="auto"/>
                <w:sz w:val="16"/>
                <w:szCs w:val="16"/>
                <w:bdr w:val="none" w:sz="0" w:space="0" w:color="auto"/>
                <w:lang w:eastAsia="en-GB"/>
              </w:rPr>
              <w:t>DP</w:t>
            </w:r>
            <w:r>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implementation</w:t>
            </w:r>
            <w:proofErr w:type="spellEnd"/>
            <w:r w:rsidRPr="00922A9B">
              <w:rPr>
                <w:rFonts w:eastAsia="Times New Roman" w:cs="Times New Roman"/>
                <w:color w:val="auto"/>
                <w:sz w:val="16"/>
                <w:szCs w:val="16"/>
                <w:bdr w:val="none" w:sz="0" w:space="0" w:color="auto"/>
                <w:lang w:eastAsia="en-GB"/>
              </w:rPr>
              <w:t xml:space="preserve"> call CEF 2014 / SESAR FPA framework</w:t>
            </w:r>
            <w:r>
              <w:rPr>
                <w:rFonts w:eastAsia="Times New Roman" w:cs="Times New Roman"/>
                <w:color w:val="auto"/>
                <w:sz w:val="16"/>
                <w:szCs w:val="16"/>
                <w:bdr w:val="none" w:sz="0" w:space="0" w:color="auto"/>
                <w:lang w:eastAsia="en-GB"/>
              </w:rPr>
              <w:t xml:space="preserve"> </w:t>
            </w:r>
            <w:r w:rsidRPr="00922A9B">
              <w:rPr>
                <w:rFonts w:eastAsia="Times New Roman" w:cs="Times New Roman"/>
                <w:color w:val="auto"/>
                <w:sz w:val="16"/>
                <w:szCs w:val="16"/>
                <w:bdr w:val="none" w:sz="0" w:space="0" w:color="auto"/>
                <w:lang w:eastAsia="en-GB"/>
              </w:rPr>
              <w:t>- Programma di sviluppo del sistema di gestione del traffico aereo per il Cielo Unico</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20EA2CB8"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nil"/>
              <w:left w:val="nil"/>
              <w:bottom w:val="single" w:sz="4" w:space="0" w:color="auto"/>
              <w:right w:val="single" w:sz="4" w:space="0" w:color="auto"/>
            </w:tcBorders>
            <w:shd w:val="clear" w:color="auto" w:fill="auto"/>
            <w:noWrap/>
            <w:vAlign w:val="center"/>
          </w:tcPr>
          <w:p w14:paraId="52C25D11"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76.723 </w:t>
            </w:r>
          </w:p>
        </w:tc>
        <w:tc>
          <w:tcPr>
            <w:tcW w:w="522" w:type="pct"/>
            <w:gridSpan w:val="4"/>
            <w:tcBorders>
              <w:top w:val="nil"/>
              <w:left w:val="nil"/>
              <w:bottom w:val="single" w:sz="4" w:space="0" w:color="auto"/>
              <w:right w:val="single" w:sz="4" w:space="0" w:color="auto"/>
            </w:tcBorders>
            <w:shd w:val="clear" w:color="auto" w:fill="auto"/>
            <w:noWrap/>
            <w:vAlign w:val="center"/>
          </w:tcPr>
          <w:p w14:paraId="0579474C"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38.362 </w:t>
            </w:r>
          </w:p>
        </w:tc>
        <w:tc>
          <w:tcPr>
            <w:tcW w:w="505" w:type="pct"/>
            <w:gridSpan w:val="5"/>
            <w:tcBorders>
              <w:top w:val="nil"/>
              <w:left w:val="nil"/>
              <w:bottom w:val="single" w:sz="4" w:space="0" w:color="auto"/>
              <w:right w:val="single" w:sz="4" w:space="0" w:color="auto"/>
            </w:tcBorders>
            <w:shd w:val="clear" w:color="auto" w:fill="auto"/>
            <w:noWrap/>
            <w:vAlign w:val="center"/>
          </w:tcPr>
          <w:p w14:paraId="18B0D43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586.107 </w:t>
            </w:r>
          </w:p>
        </w:tc>
        <w:tc>
          <w:tcPr>
            <w:tcW w:w="479" w:type="pct"/>
            <w:gridSpan w:val="4"/>
            <w:tcBorders>
              <w:top w:val="nil"/>
              <w:left w:val="nil"/>
              <w:bottom w:val="single" w:sz="4" w:space="0" w:color="auto"/>
              <w:right w:val="single" w:sz="4" w:space="0" w:color="auto"/>
            </w:tcBorders>
            <w:shd w:val="clear" w:color="auto" w:fill="auto"/>
            <w:noWrap/>
            <w:vAlign w:val="center"/>
          </w:tcPr>
          <w:p w14:paraId="52CA6F97"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289.733 </w:t>
            </w:r>
          </w:p>
        </w:tc>
        <w:tc>
          <w:tcPr>
            <w:tcW w:w="411" w:type="pct"/>
            <w:gridSpan w:val="4"/>
            <w:tcBorders>
              <w:top w:val="nil"/>
              <w:left w:val="nil"/>
              <w:bottom w:val="single" w:sz="4" w:space="0" w:color="auto"/>
              <w:right w:val="single" w:sz="4" w:space="0" w:color="auto"/>
            </w:tcBorders>
            <w:shd w:val="clear" w:color="auto" w:fill="auto"/>
            <w:noWrap/>
            <w:vAlign w:val="center"/>
          </w:tcPr>
          <w:p w14:paraId="3B27C860"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28.496 </w:t>
            </w:r>
          </w:p>
        </w:tc>
        <w:tc>
          <w:tcPr>
            <w:tcW w:w="344" w:type="pct"/>
            <w:gridSpan w:val="3"/>
            <w:tcBorders>
              <w:top w:val="nil"/>
              <w:left w:val="nil"/>
              <w:bottom w:val="single" w:sz="4" w:space="0" w:color="auto"/>
              <w:right w:val="single" w:sz="4" w:space="0" w:color="auto"/>
            </w:tcBorders>
            <w:shd w:val="clear" w:color="auto" w:fill="auto"/>
            <w:noWrap/>
            <w:vAlign w:val="center"/>
          </w:tcPr>
          <w:p w14:paraId="003EE086" w14:textId="77777777" w:rsidR="00420A1A" w:rsidRPr="00420A1A" w:rsidRDefault="00420A1A" w:rsidP="00B13F1D">
            <w:pPr>
              <w:pBdr>
                <w:top w:val="none" w:sz="0" w:space="0" w:color="auto"/>
                <w:left w:val="none" w:sz="0" w:space="0" w:color="auto"/>
                <w:bottom w:val="none" w:sz="0" w:space="0" w:color="auto"/>
                <w:right w:val="none" w:sz="0" w:space="0" w:color="auto"/>
                <w:between w:val="none" w:sz="0" w:space="0" w:color="auto"/>
                <w:bar w:val="none" w:sz="0" w:color="auto"/>
              </w:pBdr>
              <w:tabs>
                <w:tab w:val="left" w:pos="316"/>
              </w:tabs>
              <w:ind w:left="-109" w:right="-107"/>
              <w:jc w:val="center"/>
              <w:rPr>
                <w:rFonts w:eastAsia="Times New Roman" w:cs="Times New Roman"/>
                <w:color w:val="auto"/>
                <w:sz w:val="16"/>
                <w:szCs w:val="16"/>
                <w:bdr w:val="none" w:sz="0" w:space="0" w:color="auto"/>
                <w:lang w:val="en-GB" w:eastAsia="en-GB"/>
              </w:rPr>
            </w:pPr>
            <w:r w:rsidRPr="00420A1A">
              <w:rPr>
                <w:rFonts w:cs="Times New Roman"/>
                <w:sz w:val="16"/>
                <w:szCs w:val="16"/>
              </w:rPr>
              <w:t>74,3</w:t>
            </w:r>
          </w:p>
        </w:tc>
        <w:tc>
          <w:tcPr>
            <w:tcW w:w="273" w:type="pct"/>
            <w:gridSpan w:val="3"/>
            <w:tcBorders>
              <w:top w:val="nil"/>
              <w:left w:val="nil"/>
              <w:bottom w:val="single" w:sz="4" w:space="0" w:color="auto"/>
              <w:right w:val="single" w:sz="4" w:space="0" w:color="auto"/>
            </w:tcBorders>
            <w:shd w:val="clear" w:color="auto" w:fill="auto"/>
            <w:vAlign w:val="center"/>
          </w:tcPr>
          <w:p w14:paraId="07381966" w14:textId="77777777" w:rsidR="00420A1A" w:rsidRPr="00420A1A"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4" w:right="-128"/>
              <w:jc w:val="center"/>
              <w:rPr>
                <w:rFonts w:eastAsia="Times New Roman" w:cs="Times New Roman"/>
                <w:color w:val="auto"/>
                <w:sz w:val="16"/>
                <w:szCs w:val="16"/>
                <w:bdr w:val="none" w:sz="0" w:space="0" w:color="auto"/>
                <w:lang w:val="en-GB" w:eastAsia="en-GB"/>
              </w:rPr>
            </w:pPr>
            <w:r>
              <w:rPr>
                <w:rFonts w:cs="Times New Roman"/>
                <w:sz w:val="16"/>
                <w:szCs w:val="16"/>
              </w:rPr>
              <w:t>- 638</w:t>
            </w:r>
          </w:p>
        </w:tc>
        <w:tc>
          <w:tcPr>
            <w:tcW w:w="467" w:type="pct"/>
            <w:gridSpan w:val="3"/>
            <w:tcBorders>
              <w:top w:val="nil"/>
              <w:left w:val="nil"/>
              <w:bottom w:val="single" w:sz="4" w:space="0" w:color="auto"/>
              <w:right w:val="single" w:sz="4" w:space="0" w:color="auto"/>
            </w:tcBorders>
            <w:shd w:val="clear" w:color="auto" w:fill="auto"/>
            <w:vAlign w:val="center"/>
          </w:tcPr>
          <w:p w14:paraId="0E3311AF"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65.614 </w:t>
            </w:r>
          </w:p>
        </w:tc>
        <w:tc>
          <w:tcPr>
            <w:tcW w:w="199" w:type="pct"/>
            <w:gridSpan w:val="2"/>
            <w:tcBorders>
              <w:top w:val="nil"/>
              <w:left w:val="nil"/>
              <w:bottom w:val="single" w:sz="4" w:space="0" w:color="auto"/>
            </w:tcBorders>
            <w:shd w:val="clear" w:color="auto" w:fill="auto"/>
            <w:vAlign w:val="center"/>
          </w:tcPr>
          <w:p w14:paraId="583A2E32"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val="en-GB" w:eastAsia="en-GB"/>
              </w:rPr>
            </w:pPr>
            <w:r>
              <w:rPr>
                <w:rFonts w:cs="Times New Roman"/>
                <w:sz w:val="16"/>
                <w:szCs w:val="16"/>
              </w:rPr>
              <w:t>89</w:t>
            </w:r>
          </w:p>
        </w:tc>
      </w:tr>
      <w:tr w:rsidR="00420A1A" w:rsidRPr="00922A9B" w14:paraId="7CF4A1AE" w14:textId="77777777" w:rsidTr="00C56F61">
        <w:trPr>
          <w:trHeight w:val="1663"/>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03966D62"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3CEEFFAD"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2015-EU-TM-0193</w:t>
            </w:r>
          </w:p>
          <w:p w14:paraId="37D356BB"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41B31754"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SESAR - Programma di sviluppo del sistema di gestione del traffico aereo per il Cielo Unico Europeo-Cluster 1</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0E92D1BA"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31/12/19</w:t>
            </w:r>
          </w:p>
        </w:tc>
        <w:tc>
          <w:tcPr>
            <w:tcW w:w="392" w:type="pct"/>
            <w:gridSpan w:val="2"/>
            <w:tcBorders>
              <w:top w:val="single" w:sz="4" w:space="0" w:color="auto"/>
              <w:left w:val="nil"/>
              <w:bottom w:val="single" w:sz="4" w:space="0" w:color="auto"/>
              <w:right w:val="single" w:sz="4" w:space="0" w:color="auto"/>
            </w:tcBorders>
            <w:shd w:val="clear" w:color="auto" w:fill="auto"/>
            <w:noWrap/>
            <w:vAlign w:val="center"/>
            <w:hideMark/>
          </w:tcPr>
          <w:p w14:paraId="318488BD"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43.837 </w:t>
            </w:r>
          </w:p>
        </w:tc>
        <w:tc>
          <w:tcPr>
            <w:tcW w:w="522" w:type="pct"/>
            <w:gridSpan w:val="4"/>
            <w:tcBorders>
              <w:top w:val="single" w:sz="4" w:space="0" w:color="auto"/>
              <w:left w:val="nil"/>
              <w:bottom w:val="single" w:sz="4" w:space="0" w:color="auto"/>
              <w:right w:val="single" w:sz="4" w:space="0" w:color="auto"/>
            </w:tcBorders>
            <w:shd w:val="clear" w:color="auto" w:fill="auto"/>
            <w:noWrap/>
            <w:vAlign w:val="center"/>
            <w:hideMark/>
          </w:tcPr>
          <w:p w14:paraId="447E8F08"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21.919 </w:t>
            </w:r>
          </w:p>
        </w:tc>
        <w:tc>
          <w:tcPr>
            <w:tcW w:w="505" w:type="pct"/>
            <w:gridSpan w:val="5"/>
            <w:tcBorders>
              <w:top w:val="single" w:sz="4" w:space="0" w:color="auto"/>
              <w:left w:val="nil"/>
              <w:bottom w:val="single" w:sz="4" w:space="0" w:color="auto"/>
              <w:right w:val="single" w:sz="4" w:space="0" w:color="auto"/>
            </w:tcBorders>
            <w:shd w:val="clear" w:color="auto" w:fill="auto"/>
            <w:noWrap/>
            <w:vAlign w:val="center"/>
            <w:hideMark/>
          </w:tcPr>
          <w:p w14:paraId="4641ED9D"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242.210 </w:t>
            </w:r>
          </w:p>
        </w:tc>
        <w:tc>
          <w:tcPr>
            <w:tcW w:w="479" w:type="pct"/>
            <w:gridSpan w:val="4"/>
            <w:tcBorders>
              <w:top w:val="single" w:sz="4" w:space="0" w:color="auto"/>
              <w:left w:val="nil"/>
              <w:bottom w:val="single" w:sz="4" w:space="0" w:color="auto"/>
              <w:right w:val="single" w:sz="4" w:space="0" w:color="auto"/>
            </w:tcBorders>
            <w:shd w:val="clear" w:color="auto" w:fill="auto"/>
            <w:noWrap/>
            <w:vAlign w:val="center"/>
            <w:hideMark/>
          </w:tcPr>
          <w:p w14:paraId="6A45735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99.643 </w:t>
            </w:r>
          </w:p>
        </w:tc>
        <w:tc>
          <w:tcPr>
            <w:tcW w:w="411" w:type="pct"/>
            <w:gridSpan w:val="4"/>
            <w:tcBorders>
              <w:top w:val="single" w:sz="4" w:space="0" w:color="auto"/>
              <w:left w:val="nil"/>
              <w:bottom w:val="single" w:sz="4" w:space="0" w:color="auto"/>
              <w:right w:val="single" w:sz="4" w:space="0" w:color="auto"/>
            </w:tcBorders>
            <w:shd w:val="clear" w:color="auto" w:fill="auto"/>
            <w:noWrap/>
            <w:vAlign w:val="center"/>
            <w:hideMark/>
          </w:tcPr>
          <w:p w14:paraId="0567434D"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10.379 </w:t>
            </w:r>
          </w:p>
        </w:tc>
        <w:tc>
          <w:tcPr>
            <w:tcW w:w="344" w:type="pct"/>
            <w:gridSpan w:val="3"/>
            <w:tcBorders>
              <w:top w:val="single" w:sz="4" w:space="0" w:color="auto"/>
              <w:left w:val="nil"/>
              <w:bottom w:val="single" w:sz="4" w:space="0" w:color="auto"/>
              <w:right w:val="single" w:sz="4" w:space="0" w:color="auto"/>
            </w:tcBorders>
            <w:shd w:val="clear" w:color="auto" w:fill="auto"/>
            <w:noWrap/>
            <w:vAlign w:val="center"/>
            <w:hideMark/>
          </w:tcPr>
          <w:p w14:paraId="658DA142" w14:textId="77777777" w:rsidR="00420A1A" w:rsidRPr="00420A1A" w:rsidRDefault="00420A1A" w:rsidP="00D00EA2">
            <w:pPr>
              <w:pBdr>
                <w:top w:val="none" w:sz="0" w:space="0" w:color="auto"/>
                <w:left w:val="none" w:sz="0" w:space="0" w:color="auto"/>
                <w:bottom w:val="none" w:sz="0" w:space="0" w:color="auto"/>
                <w:right w:val="none" w:sz="0" w:space="0" w:color="auto"/>
                <w:between w:val="none" w:sz="0" w:space="0" w:color="auto"/>
                <w:bar w:val="none" w:sz="0" w:color="auto"/>
              </w:pBdr>
              <w:tabs>
                <w:tab w:val="left" w:pos="316"/>
              </w:tabs>
              <w:ind w:left="-109" w:right="-107"/>
              <w:jc w:val="center"/>
              <w:rPr>
                <w:rFonts w:eastAsia="Times New Roman" w:cs="Times New Roman"/>
                <w:color w:val="auto"/>
                <w:sz w:val="16"/>
                <w:szCs w:val="16"/>
                <w:bdr w:val="none" w:sz="0" w:space="0" w:color="auto"/>
                <w:lang w:val="en-GB" w:eastAsia="en-GB"/>
              </w:rPr>
            </w:pPr>
            <w:r w:rsidRPr="00420A1A">
              <w:rPr>
                <w:rFonts w:cs="Times New Roman"/>
                <w:sz w:val="16"/>
                <w:szCs w:val="16"/>
              </w:rPr>
              <w:t>47,4</w:t>
            </w:r>
          </w:p>
        </w:tc>
        <w:tc>
          <w:tcPr>
            <w:tcW w:w="273" w:type="pct"/>
            <w:gridSpan w:val="3"/>
            <w:tcBorders>
              <w:top w:val="single" w:sz="4" w:space="0" w:color="auto"/>
              <w:left w:val="nil"/>
              <w:bottom w:val="single" w:sz="4" w:space="0" w:color="auto"/>
              <w:right w:val="single" w:sz="4" w:space="0" w:color="auto"/>
            </w:tcBorders>
            <w:shd w:val="clear" w:color="auto" w:fill="auto"/>
            <w:vAlign w:val="center"/>
            <w:hideMark/>
          </w:tcPr>
          <w:p w14:paraId="05705B57"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14 </w:t>
            </w:r>
          </w:p>
        </w:tc>
        <w:tc>
          <w:tcPr>
            <w:tcW w:w="467" w:type="pct"/>
            <w:gridSpan w:val="3"/>
            <w:tcBorders>
              <w:top w:val="single" w:sz="4" w:space="0" w:color="auto"/>
              <w:left w:val="nil"/>
              <w:bottom w:val="single" w:sz="4" w:space="0" w:color="auto"/>
              <w:right w:val="single" w:sz="4" w:space="0" w:color="auto"/>
            </w:tcBorders>
            <w:shd w:val="clear" w:color="auto" w:fill="auto"/>
            <w:vAlign w:val="center"/>
            <w:hideMark/>
          </w:tcPr>
          <w:p w14:paraId="426CBD78"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27.768 </w:t>
            </w:r>
          </w:p>
        </w:tc>
        <w:tc>
          <w:tcPr>
            <w:tcW w:w="199" w:type="pct"/>
            <w:gridSpan w:val="2"/>
            <w:tcBorders>
              <w:top w:val="single" w:sz="4" w:space="0" w:color="auto"/>
              <w:left w:val="nil"/>
              <w:bottom w:val="single" w:sz="4" w:space="0" w:color="auto"/>
            </w:tcBorders>
            <w:shd w:val="clear" w:color="auto" w:fill="auto"/>
            <w:vAlign w:val="center"/>
            <w:hideMark/>
          </w:tcPr>
          <w:p w14:paraId="60AD8C85"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val="en-GB" w:eastAsia="en-GB"/>
              </w:rPr>
            </w:pPr>
            <w:r>
              <w:rPr>
                <w:rFonts w:cs="Times New Roman"/>
                <w:sz w:val="16"/>
                <w:szCs w:val="16"/>
              </w:rPr>
              <w:t>95</w:t>
            </w:r>
          </w:p>
        </w:tc>
      </w:tr>
      <w:tr w:rsidR="00420A1A" w:rsidRPr="00922A9B" w14:paraId="6061E372" w14:textId="77777777" w:rsidTr="00C56F61">
        <w:trPr>
          <w:trHeight w:val="570"/>
        </w:trPr>
        <w:tc>
          <w:tcPr>
            <w:tcW w:w="230" w:type="pct"/>
            <w:tcBorders>
              <w:top w:val="nil"/>
              <w:left w:val="nil"/>
              <w:bottom w:val="single" w:sz="4" w:space="0" w:color="auto"/>
              <w:right w:val="single" w:sz="4" w:space="0" w:color="auto"/>
            </w:tcBorders>
            <w:shd w:val="clear" w:color="auto" w:fill="auto"/>
            <w:noWrap/>
            <w:vAlign w:val="center"/>
            <w:hideMark/>
          </w:tcPr>
          <w:p w14:paraId="4FEB8878"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w:t>
            </w:r>
          </w:p>
        </w:tc>
        <w:tc>
          <w:tcPr>
            <w:tcW w:w="371" w:type="pct"/>
            <w:gridSpan w:val="2"/>
            <w:tcBorders>
              <w:top w:val="nil"/>
              <w:left w:val="nil"/>
              <w:bottom w:val="single" w:sz="4" w:space="0" w:color="auto"/>
              <w:right w:val="single" w:sz="4" w:space="0" w:color="auto"/>
            </w:tcBorders>
            <w:shd w:val="clear" w:color="auto" w:fill="auto"/>
            <w:vAlign w:val="center"/>
            <w:hideMark/>
          </w:tcPr>
          <w:p w14:paraId="19DF51F7"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2015-EU-TM-0196</w:t>
            </w:r>
          </w:p>
          <w:p w14:paraId="27583990"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nil"/>
              <w:left w:val="nil"/>
              <w:bottom w:val="single" w:sz="4" w:space="0" w:color="auto"/>
              <w:right w:val="single" w:sz="4" w:space="0" w:color="auto"/>
            </w:tcBorders>
            <w:shd w:val="clear" w:color="auto" w:fill="auto"/>
            <w:vAlign w:val="center"/>
            <w:hideMark/>
          </w:tcPr>
          <w:p w14:paraId="7EA51210"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SESAR - Programma di sviluppo del sistema di gestione del traffico aereo per il Cielo Unico Europeo-Cluster 2</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1DB2FE54"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w:t>
            </w:r>
            <w:r>
              <w:rPr>
                <w:rFonts w:eastAsia="Times New Roman" w:cs="Times New Roman"/>
                <w:color w:val="auto"/>
                <w:sz w:val="16"/>
                <w:szCs w:val="16"/>
                <w:bdr w:val="none" w:sz="0" w:space="0" w:color="auto"/>
                <w:lang w:val="en-GB" w:eastAsia="en-GB"/>
              </w:rPr>
              <w:t>1</w:t>
            </w:r>
          </w:p>
        </w:tc>
        <w:tc>
          <w:tcPr>
            <w:tcW w:w="392" w:type="pct"/>
            <w:gridSpan w:val="2"/>
            <w:tcBorders>
              <w:top w:val="nil"/>
              <w:left w:val="nil"/>
              <w:bottom w:val="single" w:sz="4" w:space="0" w:color="auto"/>
              <w:right w:val="single" w:sz="4" w:space="0" w:color="auto"/>
            </w:tcBorders>
            <w:shd w:val="clear" w:color="auto" w:fill="auto"/>
            <w:noWrap/>
            <w:vAlign w:val="center"/>
          </w:tcPr>
          <w:p w14:paraId="76D3A292"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29.088 </w:t>
            </w:r>
          </w:p>
        </w:tc>
        <w:tc>
          <w:tcPr>
            <w:tcW w:w="522" w:type="pct"/>
            <w:gridSpan w:val="4"/>
            <w:tcBorders>
              <w:top w:val="nil"/>
              <w:left w:val="nil"/>
              <w:bottom w:val="single" w:sz="4" w:space="0" w:color="auto"/>
              <w:right w:val="single" w:sz="4" w:space="0" w:color="auto"/>
            </w:tcBorders>
            <w:shd w:val="clear" w:color="auto" w:fill="auto"/>
            <w:noWrap/>
            <w:vAlign w:val="center"/>
          </w:tcPr>
          <w:p w14:paraId="3010B4E0"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8.026 </w:t>
            </w:r>
          </w:p>
        </w:tc>
        <w:tc>
          <w:tcPr>
            <w:tcW w:w="505" w:type="pct"/>
            <w:gridSpan w:val="5"/>
            <w:tcBorders>
              <w:top w:val="nil"/>
              <w:left w:val="nil"/>
              <w:bottom w:val="single" w:sz="4" w:space="0" w:color="auto"/>
              <w:right w:val="single" w:sz="4" w:space="0" w:color="auto"/>
            </w:tcBorders>
            <w:shd w:val="clear" w:color="auto" w:fill="auto"/>
            <w:noWrap/>
            <w:vAlign w:val="center"/>
          </w:tcPr>
          <w:p w14:paraId="0BF7B657"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766.392 </w:t>
            </w:r>
          </w:p>
        </w:tc>
        <w:tc>
          <w:tcPr>
            <w:tcW w:w="479" w:type="pct"/>
            <w:gridSpan w:val="4"/>
            <w:tcBorders>
              <w:top w:val="nil"/>
              <w:left w:val="nil"/>
              <w:bottom w:val="single" w:sz="4" w:space="0" w:color="auto"/>
              <w:right w:val="single" w:sz="4" w:space="0" w:color="auto"/>
            </w:tcBorders>
            <w:shd w:val="clear" w:color="auto" w:fill="auto"/>
            <w:noWrap/>
            <w:vAlign w:val="center"/>
          </w:tcPr>
          <w:p w14:paraId="391AED97"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334.870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5919865B"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55 </w:t>
            </w:r>
          </w:p>
        </w:tc>
        <w:tc>
          <w:tcPr>
            <w:tcW w:w="344" w:type="pct"/>
            <w:gridSpan w:val="3"/>
            <w:tcBorders>
              <w:top w:val="nil"/>
              <w:left w:val="nil"/>
              <w:bottom w:val="single" w:sz="4" w:space="0" w:color="auto"/>
              <w:right w:val="single" w:sz="4" w:space="0" w:color="auto"/>
            </w:tcBorders>
            <w:shd w:val="clear" w:color="auto" w:fill="auto"/>
            <w:noWrap/>
            <w:vAlign w:val="center"/>
            <w:hideMark/>
          </w:tcPr>
          <w:p w14:paraId="43443C5B" w14:textId="77777777" w:rsidR="00420A1A" w:rsidRPr="00420A1A" w:rsidRDefault="00420A1A" w:rsidP="00D00EA2">
            <w:pPr>
              <w:pBdr>
                <w:top w:val="none" w:sz="0" w:space="0" w:color="auto"/>
                <w:left w:val="none" w:sz="0" w:space="0" w:color="auto"/>
                <w:bottom w:val="none" w:sz="0" w:space="0" w:color="auto"/>
                <w:right w:val="none" w:sz="0" w:space="0" w:color="auto"/>
                <w:between w:val="none" w:sz="0" w:space="0" w:color="auto"/>
                <w:bar w:val="none" w:sz="0" w:color="auto"/>
              </w:pBdr>
              <w:ind w:right="-107"/>
              <w:jc w:val="center"/>
              <w:rPr>
                <w:rFonts w:eastAsia="Times New Roman" w:cs="Times New Roman"/>
                <w:color w:val="auto"/>
                <w:sz w:val="16"/>
                <w:szCs w:val="16"/>
                <w:bdr w:val="none" w:sz="0" w:space="0" w:color="auto"/>
                <w:lang w:val="en-GB" w:eastAsia="en-GB"/>
              </w:rPr>
            </w:pPr>
            <w:r w:rsidRPr="00420A1A">
              <w:rPr>
                <w:rFonts w:cs="Times New Roman"/>
                <w:sz w:val="16"/>
                <w:szCs w:val="16"/>
              </w:rPr>
              <w:t>0,7</w:t>
            </w:r>
          </w:p>
        </w:tc>
        <w:tc>
          <w:tcPr>
            <w:tcW w:w="273" w:type="pct"/>
            <w:gridSpan w:val="3"/>
            <w:tcBorders>
              <w:top w:val="nil"/>
              <w:left w:val="nil"/>
              <w:bottom w:val="single" w:sz="4" w:space="0" w:color="auto"/>
              <w:right w:val="single" w:sz="4" w:space="0" w:color="auto"/>
            </w:tcBorders>
            <w:shd w:val="clear" w:color="auto" w:fill="auto"/>
            <w:vAlign w:val="center"/>
          </w:tcPr>
          <w:p w14:paraId="2BCC4D18"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112 </w:t>
            </w:r>
          </w:p>
        </w:tc>
        <w:tc>
          <w:tcPr>
            <w:tcW w:w="467" w:type="pct"/>
            <w:gridSpan w:val="3"/>
            <w:tcBorders>
              <w:top w:val="nil"/>
              <w:left w:val="nil"/>
              <w:bottom w:val="single" w:sz="4" w:space="0" w:color="auto"/>
              <w:right w:val="single" w:sz="4" w:space="0" w:color="auto"/>
            </w:tcBorders>
            <w:shd w:val="clear" w:color="auto" w:fill="auto"/>
            <w:vAlign w:val="center"/>
          </w:tcPr>
          <w:p w14:paraId="57B669FC"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2.774 </w:t>
            </w:r>
          </w:p>
        </w:tc>
        <w:tc>
          <w:tcPr>
            <w:tcW w:w="199" w:type="pct"/>
            <w:gridSpan w:val="2"/>
            <w:tcBorders>
              <w:top w:val="nil"/>
              <w:left w:val="nil"/>
              <w:bottom w:val="single" w:sz="4" w:space="0" w:color="auto"/>
            </w:tcBorders>
            <w:shd w:val="clear" w:color="auto" w:fill="auto"/>
            <w:vAlign w:val="center"/>
          </w:tcPr>
          <w:p w14:paraId="0C0CC157"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val="en-GB" w:eastAsia="en-GB"/>
              </w:rPr>
            </w:pPr>
            <w:r>
              <w:rPr>
                <w:rFonts w:cs="Times New Roman"/>
                <w:sz w:val="16"/>
                <w:szCs w:val="16"/>
              </w:rPr>
              <w:t>63</w:t>
            </w:r>
          </w:p>
        </w:tc>
      </w:tr>
      <w:tr w:rsidR="00420A1A" w:rsidRPr="00922A9B" w14:paraId="37E0623E"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hideMark/>
          </w:tcPr>
          <w:p w14:paraId="265F7923"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4</w:t>
            </w:r>
          </w:p>
        </w:tc>
        <w:tc>
          <w:tcPr>
            <w:tcW w:w="371" w:type="pct"/>
            <w:gridSpan w:val="2"/>
            <w:tcBorders>
              <w:top w:val="nil"/>
              <w:left w:val="nil"/>
              <w:bottom w:val="single" w:sz="4" w:space="0" w:color="auto"/>
              <w:right w:val="single" w:sz="4" w:space="0" w:color="auto"/>
            </w:tcBorders>
            <w:shd w:val="clear" w:color="auto" w:fill="auto"/>
            <w:vAlign w:val="center"/>
            <w:hideMark/>
          </w:tcPr>
          <w:p w14:paraId="37B6FCB2"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2015-EU-TM-0197</w:t>
            </w:r>
          </w:p>
          <w:p w14:paraId="02090F5C"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nil"/>
              <w:left w:val="nil"/>
              <w:bottom w:val="single" w:sz="4" w:space="0" w:color="auto"/>
              <w:right w:val="single" w:sz="4" w:space="0" w:color="auto"/>
            </w:tcBorders>
            <w:shd w:val="clear" w:color="auto" w:fill="auto"/>
            <w:vAlign w:val="center"/>
            <w:hideMark/>
          </w:tcPr>
          <w:p w14:paraId="309EF5F8"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SESAR - Programma di sviluppo del sistema di gestione del traffico aereo per il Cielo Unico Europeo-Cluster 3.</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5D4EF1C1"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nil"/>
              <w:left w:val="nil"/>
              <w:bottom w:val="single" w:sz="4" w:space="0" w:color="auto"/>
              <w:right w:val="single" w:sz="4" w:space="0" w:color="auto"/>
            </w:tcBorders>
            <w:shd w:val="clear" w:color="auto" w:fill="auto"/>
            <w:noWrap/>
            <w:vAlign w:val="center"/>
          </w:tcPr>
          <w:p w14:paraId="389D4E9B"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12 </w:t>
            </w:r>
          </w:p>
        </w:tc>
        <w:tc>
          <w:tcPr>
            <w:tcW w:w="522" w:type="pct"/>
            <w:gridSpan w:val="4"/>
            <w:tcBorders>
              <w:top w:val="nil"/>
              <w:left w:val="nil"/>
              <w:bottom w:val="single" w:sz="4" w:space="0" w:color="auto"/>
              <w:right w:val="single" w:sz="4" w:space="0" w:color="auto"/>
            </w:tcBorders>
            <w:shd w:val="clear" w:color="auto" w:fill="auto"/>
            <w:noWrap/>
            <w:vAlign w:val="center"/>
          </w:tcPr>
          <w:p w14:paraId="05DD73D1"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6 </w:t>
            </w:r>
          </w:p>
        </w:tc>
        <w:tc>
          <w:tcPr>
            <w:tcW w:w="505" w:type="pct"/>
            <w:gridSpan w:val="5"/>
            <w:tcBorders>
              <w:top w:val="nil"/>
              <w:left w:val="nil"/>
              <w:bottom w:val="single" w:sz="4" w:space="0" w:color="auto"/>
              <w:right w:val="single" w:sz="4" w:space="0" w:color="auto"/>
            </w:tcBorders>
            <w:shd w:val="clear" w:color="auto" w:fill="auto"/>
            <w:noWrap/>
            <w:vAlign w:val="center"/>
          </w:tcPr>
          <w:p w14:paraId="1BB0D4CC"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58.405 </w:t>
            </w:r>
          </w:p>
        </w:tc>
        <w:tc>
          <w:tcPr>
            <w:tcW w:w="479" w:type="pct"/>
            <w:gridSpan w:val="4"/>
            <w:tcBorders>
              <w:top w:val="nil"/>
              <w:left w:val="nil"/>
              <w:bottom w:val="single" w:sz="4" w:space="0" w:color="auto"/>
              <w:right w:val="single" w:sz="4" w:space="0" w:color="auto"/>
            </w:tcBorders>
            <w:shd w:val="clear" w:color="auto" w:fill="auto"/>
            <w:noWrap/>
            <w:vAlign w:val="center"/>
          </w:tcPr>
          <w:p w14:paraId="69E04E9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47.660 </w:t>
            </w:r>
          </w:p>
        </w:tc>
        <w:tc>
          <w:tcPr>
            <w:tcW w:w="411" w:type="pct"/>
            <w:gridSpan w:val="4"/>
            <w:tcBorders>
              <w:top w:val="nil"/>
              <w:left w:val="nil"/>
              <w:bottom w:val="single" w:sz="4" w:space="0" w:color="auto"/>
              <w:right w:val="single" w:sz="4" w:space="0" w:color="auto"/>
            </w:tcBorders>
            <w:shd w:val="clear" w:color="auto" w:fill="auto"/>
            <w:noWrap/>
            <w:vAlign w:val="center"/>
          </w:tcPr>
          <w:p w14:paraId="5D34687F"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 </w:t>
            </w:r>
          </w:p>
        </w:tc>
        <w:tc>
          <w:tcPr>
            <w:tcW w:w="344" w:type="pct"/>
            <w:gridSpan w:val="3"/>
            <w:tcBorders>
              <w:top w:val="nil"/>
              <w:left w:val="nil"/>
              <w:bottom w:val="single" w:sz="4" w:space="0" w:color="auto"/>
              <w:right w:val="single" w:sz="4" w:space="0" w:color="auto"/>
            </w:tcBorders>
            <w:shd w:val="clear" w:color="auto" w:fill="auto"/>
            <w:noWrap/>
            <w:vAlign w:val="center"/>
          </w:tcPr>
          <w:p w14:paraId="3E99C852" w14:textId="77777777" w:rsidR="00420A1A" w:rsidRPr="00420A1A" w:rsidRDefault="00420A1A"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08"/>
              <w:jc w:val="center"/>
              <w:rPr>
                <w:rFonts w:eastAsia="Times New Roman" w:cs="Times New Roman"/>
                <w:color w:val="auto"/>
                <w:sz w:val="16"/>
                <w:szCs w:val="16"/>
                <w:bdr w:val="none" w:sz="0" w:space="0" w:color="auto"/>
                <w:lang w:val="en-GB" w:eastAsia="en-GB"/>
              </w:rPr>
            </w:pPr>
            <w:r w:rsidRPr="00420A1A">
              <w:rPr>
                <w:rFonts w:cs="Times New Roman"/>
                <w:sz w:val="16"/>
                <w:szCs w:val="16"/>
              </w:rPr>
              <w:t>20,8</w:t>
            </w:r>
          </w:p>
        </w:tc>
        <w:tc>
          <w:tcPr>
            <w:tcW w:w="273" w:type="pct"/>
            <w:gridSpan w:val="3"/>
            <w:tcBorders>
              <w:top w:val="nil"/>
              <w:left w:val="nil"/>
              <w:bottom w:val="single" w:sz="4" w:space="0" w:color="auto"/>
              <w:right w:val="single" w:sz="4" w:space="0" w:color="auto"/>
            </w:tcBorders>
            <w:shd w:val="clear" w:color="auto" w:fill="auto"/>
            <w:vAlign w:val="center"/>
            <w:hideMark/>
          </w:tcPr>
          <w:p w14:paraId="2CA6D91E"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6 </w:t>
            </w:r>
          </w:p>
        </w:tc>
        <w:tc>
          <w:tcPr>
            <w:tcW w:w="467" w:type="pct"/>
            <w:gridSpan w:val="3"/>
            <w:tcBorders>
              <w:top w:val="nil"/>
              <w:left w:val="nil"/>
              <w:bottom w:val="single" w:sz="4" w:space="0" w:color="auto"/>
              <w:right w:val="single" w:sz="4" w:space="0" w:color="auto"/>
            </w:tcBorders>
            <w:shd w:val="clear" w:color="auto" w:fill="auto"/>
            <w:vAlign w:val="center"/>
            <w:hideMark/>
          </w:tcPr>
          <w:p w14:paraId="17E419E2"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18 </w:t>
            </w:r>
          </w:p>
        </w:tc>
        <w:tc>
          <w:tcPr>
            <w:tcW w:w="199" w:type="pct"/>
            <w:gridSpan w:val="2"/>
            <w:tcBorders>
              <w:top w:val="nil"/>
              <w:left w:val="nil"/>
              <w:bottom w:val="single" w:sz="4" w:space="0" w:color="auto"/>
            </w:tcBorders>
            <w:shd w:val="clear" w:color="auto" w:fill="auto"/>
            <w:vAlign w:val="center"/>
            <w:hideMark/>
          </w:tcPr>
          <w:p w14:paraId="24C1BF9B"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val="en-GB" w:eastAsia="en-GB"/>
              </w:rPr>
            </w:pPr>
            <w:r>
              <w:rPr>
                <w:rFonts w:cs="Times New Roman"/>
                <w:sz w:val="16"/>
                <w:szCs w:val="16"/>
              </w:rPr>
              <w:t>85</w:t>
            </w:r>
          </w:p>
        </w:tc>
      </w:tr>
      <w:tr w:rsidR="00420A1A" w:rsidRPr="00922A9B" w14:paraId="0DB32196" w14:textId="77777777" w:rsidTr="00C56F61">
        <w:trPr>
          <w:trHeight w:val="1821"/>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3625C28F"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lastRenderedPageBreak/>
              <w:t>5</w:t>
            </w:r>
          </w:p>
        </w:tc>
        <w:tc>
          <w:tcPr>
            <w:tcW w:w="371" w:type="pct"/>
            <w:gridSpan w:val="2"/>
            <w:tcBorders>
              <w:top w:val="single" w:sz="4" w:space="0" w:color="auto"/>
              <w:left w:val="nil"/>
              <w:bottom w:val="single" w:sz="4" w:space="0" w:color="auto"/>
              <w:right w:val="single" w:sz="4" w:space="0" w:color="auto"/>
            </w:tcBorders>
            <w:shd w:val="clear" w:color="auto" w:fill="auto"/>
            <w:vAlign w:val="center"/>
            <w:hideMark/>
          </w:tcPr>
          <w:p w14:paraId="61A5C037"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2016-EU-TM-0117</w:t>
            </w:r>
          </w:p>
          <w:p w14:paraId="2ECBD6C6"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single" w:sz="4" w:space="0" w:color="auto"/>
              <w:left w:val="nil"/>
              <w:bottom w:val="single" w:sz="4" w:space="0" w:color="auto"/>
              <w:right w:val="single" w:sz="4" w:space="0" w:color="auto"/>
            </w:tcBorders>
            <w:shd w:val="clear" w:color="auto" w:fill="auto"/>
            <w:vAlign w:val="center"/>
            <w:hideMark/>
          </w:tcPr>
          <w:p w14:paraId="5CFB26C5"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SESAR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Implementazio</w:t>
            </w:r>
            <w:proofErr w:type="spellEnd"/>
            <w:r>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del programma di sviluppo del progetto per la gestione del traffico aereo (ATM) </w:t>
            </w:r>
          </w:p>
          <w:p w14:paraId="2A0B404A"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eastAsia="en-GB"/>
              </w:rPr>
              <w:t>Cluster 1</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0CAE1FDE"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single" w:sz="4" w:space="0" w:color="auto"/>
              <w:left w:val="nil"/>
              <w:bottom w:val="single" w:sz="4" w:space="0" w:color="auto"/>
              <w:right w:val="single" w:sz="4" w:space="0" w:color="auto"/>
            </w:tcBorders>
            <w:shd w:val="clear" w:color="auto" w:fill="auto"/>
            <w:noWrap/>
            <w:vAlign w:val="center"/>
          </w:tcPr>
          <w:p w14:paraId="0F0937FB"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98.817 </w:t>
            </w:r>
          </w:p>
        </w:tc>
        <w:tc>
          <w:tcPr>
            <w:tcW w:w="522" w:type="pct"/>
            <w:gridSpan w:val="4"/>
            <w:tcBorders>
              <w:top w:val="single" w:sz="4" w:space="0" w:color="auto"/>
              <w:left w:val="nil"/>
              <w:bottom w:val="single" w:sz="4" w:space="0" w:color="auto"/>
              <w:right w:val="single" w:sz="4" w:space="0" w:color="auto"/>
            </w:tcBorders>
            <w:shd w:val="clear" w:color="auto" w:fill="auto"/>
            <w:noWrap/>
            <w:vAlign w:val="center"/>
          </w:tcPr>
          <w:p w14:paraId="6FB551B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42.504 </w:t>
            </w:r>
          </w:p>
        </w:tc>
        <w:tc>
          <w:tcPr>
            <w:tcW w:w="505" w:type="pct"/>
            <w:gridSpan w:val="5"/>
            <w:tcBorders>
              <w:top w:val="single" w:sz="4" w:space="0" w:color="auto"/>
              <w:left w:val="nil"/>
              <w:bottom w:val="single" w:sz="4" w:space="0" w:color="auto"/>
              <w:right w:val="single" w:sz="4" w:space="0" w:color="auto"/>
            </w:tcBorders>
            <w:shd w:val="clear" w:color="auto" w:fill="auto"/>
            <w:noWrap/>
            <w:vAlign w:val="center"/>
          </w:tcPr>
          <w:p w14:paraId="1A0D3998"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628.791 </w:t>
            </w:r>
          </w:p>
        </w:tc>
        <w:tc>
          <w:tcPr>
            <w:tcW w:w="479" w:type="pct"/>
            <w:gridSpan w:val="4"/>
            <w:tcBorders>
              <w:top w:val="single" w:sz="4" w:space="0" w:color="auto"/>
              <w:left w:val="nil"/>
              <w:bottom w:val="single" w:sz="4" w:space="0" w:color="auto"/>
              <w:right w:val="single" w:sz="4" w:space="0" w:color="auto"/>
            </w:tcBorders>
            <w:shd w:val="clear" w:color="auto" w:fill="auto"/>
            <w:noWrap/>
            <w:vAlign w:val="center"/>
          </w:tcPr>
          <w:p w14:paraId="08673AC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259.502 </w:t>
            </w:r>
          </w:p>
        </w:tc>
        <w:tc>
          <w:tcPr>
            <w:tcW w:w="411" w:type="pct"/>
            <w:gridSpan w:val="4"/>
            <w:tcBorders>
              <w:top w:val="single" w:sz="4" w:space="0" w:color="auto"/>
              <w:left w:val="nil"/>
              <w:bottom w:val="single" w:sz="4" w:space="0" w:color="auto"/>
              <w:right w:val="single" w:sz="4" w:space="0" w:color="auto"/>
            </w:tcBorders>
            <w:shd w:val="clear" w:color="auto" w:fill="auto"/>
            <w:noWrap/>
            <w:vAlign w:val="center"/>
          </w:tcPr>
          <w:p w14:paraId="7B46FE31"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12.444 </w:t>
            </w:r>
          </w:p>
        </w:tc>
        <w:tc>
          <w:tcPr>
            <w:tcW w:w="344" w:type="pct"/>
            <w:gridSpan w:val="3"/>
            <w:tcBorders>
              <w:top w:val="single" w:sz="4" w:space="0" w:color="auto"/>
              <w:left w:val="nil"/>
              <w:bottom w:val="single" w:sz="4" w:space="0" w:color="auto"/>
              <w:right w:val="single" w:sz="4" w:space="0" w:color="auto"/>
            </w:tcBorders>
            <w:shd w:val="clear" w:color="auto" w:fill="auto"/>
            <w:noWrap/>
            <w:vAlign w:val="center"/>
          </w:tcPr>
          <w:p w14:paraId="6D92A173" w14:textId="77777777" w:rsidR="00420A1A" w:rsidRPr="00420A1A" w:rsidRDefault="00420A1A" w:rsidP="00D00EA2">
            <w:pPr>
              <w:pBdr>
                <w:top w:val="none" w:sz="0" w:space="0" w:color="auto"/>
                <w:left w:val="none" w:sz="0" w:space="0" w:color="auto"/>
                <w:bottom w:val="none" w:sz="0" w:space="0" w:color="auto"/>
                <w:right w:val="none" w:sz="0" w:space="0" w:color="auto"/>
                <w:between w:val="none" w:sz="0" w:space="0" w:color="auto"/>
                <w:bar w:val="none" w:sz="0" w:color="auto"/>
              </w:pBdr>
              <w:ind w:right="-107"/>
              <w:jc w:val="center"/>
              <w:rPr>
                <w:rFonts w:eastAsia="Times New Roman" w:cs="Times New Roman"/>
                <w:sz w:val="16"/>
                <w:szCs w:val="16"/>
                <w:bdr w:val="none" w:sz="0" w:space="0" w:color="auto"/>
                <w:lang w:val="en-GB" w:eastAsia="en-GB"/>
              </w:rPr>
            </w:pPr>
            <w:r w:rsidRPr="00420A1A">
              <w:rPr>
                <w:rFonts w:cs="Times New Roman"/>
                <w:sz w:val="16"/>
                <w:szCs w:val="16"/>
              </w:rPr>
              <w:t>29,3</w:t>
            </w:r>
          </w:p>
        </w:tc>
        <w:tc>
          <w:tcPr>
            <w:tcW w:w="273" w:type="pct"/>
            <w:gridSpan w:val="3"/>
            <w:tcBorders>
              <w:top w:val="single" w:sz="4" w:space="0" w:color="auto"/>
              <w:left w:val="nil"/>
              <w:bottom w:val="single" w:sz="4" w:space="0" w:color="auto"/>
              <w:right w:val="single" w:sz="4" w:space="0" w:color="auto"/>
            </w:tcBorders>
            <w:shd w:val="clear" w:color="auto" w:fill="auto"/>
            <w:vAlign w:val="center"/>
          </w:tcPr>
          <w:p w14:paraId="2D48982A" w14:textId="77777777" w:rsidR="00420A1A" w:rsidRPr="00420A1A" w:rsidRDefault="00D00EA2" w:rsidP="009F3ABD">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cs="Times New Roman"/>
                <w:sz w:val="16"/>
                <w:szCs w:val="16"/>
              </w:rPr>
              <w:t>-</w:t>
            </w:r>
            <w:r w:rsidR="00420A1A" w:rsidRPr="00420A1A">
              <w:rPr>
                <w:rFonts w:cs="Times New Roman"/>
                <w:sz w:val="16"/>
                <w:szCs w:val="16"/>
              </w:rPr>
              <w:t xml:space="preserve">399 </w:t>
            </w:r>
          </w:p>
        </w:tc>
        <w:tc>
          <w:tcPr>
            <w:tcW w:w="467" w:type="pct"/>
            <w:gridSpan w:val="3"/>
            <w:tcBorders>
              <w:top w:val="single" w:sz="4" w:space="0" w:color="auto"/>
              <w:left w:val="nil"/>
              <w:bottom w:val="single" w:sz="4" w:space="0" w:color="auto"/>
              <w:right w:val="single" w:sz="4" w:space="0" w:color="auto"/>
            </w:tcBorders>
            <w:shd w:val="clear" w:color="auto" w:fill="auto"/>
            <w:vAlign w:val="center"/>
          </w:tcPr>
          <w:p w14:paraId="55023F93"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58.555 </w:t>
            </w:r>
          </w:p>
        </w:tc>
        <w:tc>
          <w:tcPr>
            <w:tcW w:w="199" w:type="pct"/>
            <w:gridSpan w:val="2"/>
            <w:tcBorders>
              <w:top w:val="single" w:sz="4" w:space="0" w:color="auto"/>
              <w:left w:val="nil"/>
              <w:bottom w:val="single" w:sz="4" w:space="0" w:color="auto"/>
            </w:tcBorders>
            <w:shd w:val="clear" w:color="auto" w:fill="auto"/>
            <w:vAlign w:val="center"/>
          </w:tcPr>
          <w:p w14:paraId="524DCCB5"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val="en-GB" w:eastAsia="en-GB"/>
              </w:rPr>
            </w:pPr>
            <w:r>
              <w:rPr>
                <w:rFonts w:cs="Times New Roman"/>
                <w:sz w:val="16"/>
                <w:szCs w:val="16"/>
              </w:rPr>
              <w:t>68</w:t>
            </w:r>
          </w:p>
        </w:tc>
      </w:tr>
      <w:tr w:rsidR="00420A1A" w:rsidRPr="00922A9B" w14:paraId="3AC237DF" w14:textId="77777777" w:rsidTr="00C56F61">
        <w:trPr>
          <w:trHeight w:val="886"/>
        </w:trPr>
        <w:tc>
          <w:tcPr>
            <w:tcW w:w="230" w:type="pct"/>
            <w:tcBorders>
              <w:top w:val="nil"/>
              <w:left w:val="nil"/>
              <w:bottom w:val="single" w:sz="4" w:space="0" w:color="auto"/>
              <w:right w:val="single" w:sz="4" w:space="0" w:color="auto"/>
            </w:tcBorders>
            <w:shd w:val="clear" w:color="auto" w:fill="auto"/>
            <w:noWrap/>
            <w:vAlign w:val="center"/>
            <w:hideMark/>
          </w:tcPr>
          <w:p w14:paraId="2C1C2533"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6</w:t>
            </w:r>
          </w:p>
        </w:tc>
        <w:tc>
          <w:tcPr>
            <w:tcW w:w="371" w:type="pct"/>
            <w:gridSpan w:val="2"/>
            <w:tcBorders>
              <w:top w:val="nil"/>
              <w:left w:val="nil"/>
              <w:bottom w:val="single" w:sz="4" w:space="0" w:color="auto"/>
              <w:right w:val="single" w:sz="4" w:space="0" w:color="auto"/>
            </w:tcBorders>
            <w:shd w:val="clear" w:color="auto" w:fill="auto"/>
            <w:vAlign w:val="center"/>
            <w:hideMark/>
          </w:tcPr>
          <w:p w14:paraId="4ECBE7B9"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2016-EU-TM-0155</w:t>
            </w:r>
          </w:p>
          <w:p w14:paraId="7F858802"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87" w:type="pct"/>
            <w:gridSpan w:val="2"/>
            <w:tcBorders>
              <w:top w:val="nil"/>
              <w:left w:val="nil"/>
              <w:bottom w:val="single" w:sz="4" w:space="0" w:color="auto"/>
              <w:right w:val="single" w:sz="4" w:space="0" w:color="auto"/>
            </w:tcBorders>
            <w:shd w:val="clear" w:color="auto" w:fill="auto"/>
            <w:vAlign w:val="center"/>
            <w:hideMark/>
          </w:tcPr>
          <w:p w14:paraId="40BFB2D5"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Sviluppo di applicazioni SBAS </w:t>
            </w:r>
            <w:proofErr w:type="spellStart"/>
            <w:r w:rsidRPr="00922A9B">
              <w:rPr>
                <w:rFonts w:eastAsia="Times New Roman" w:cs="Times New Roman"/>
                <w:color w:val="auto"/>
                <w:sz w:val="16"/>
                <w:szCs w:val="16"/>
                <w:bdr w:val="none" w:sz="0" w:space="0" w:color="auto"/>
                <w:lang w:eastAsia="en-GB"/>
              </w:rPr>
              <w:t>Cat</w:t>
            </w:r>
            <w:proofErr w:type="spellEnd"/>
            <w:r w:rsidRPr="00922A9B">
              <w:rPr>
                <w:rFonts w:eastAsia="Times New Roman" w:cs="Times New Roman"/>
                <w:color w:val="auto"/>
                <w:sz w:val="16"/>
                <w:szCs w:val="16"/>
                <w:bdr w:val="none" w:sz="0" w:space="0" w:color="auto"/>
                <w:lang w:eastAsia="en-GB"/>
              </w:rPr>
              <w:t xml:space="preserve"> 1 su Airbus A320</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153C63D5"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48CE9CAC"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229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395D5876"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111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4D1788DF"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10.679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1AEAC355"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3.147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3B545212"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27 </w:t>
            </w:r>
          </w:p>
        </w:tc>
        <w:tc>
          <w:tcPr>
            <w:tcW w:w="344" w:type="pct"/>
            <w:gridSpan w:val="3"/>
            <w:tcBorders>
              <w:top w:val="nil"/>
              <w:left w:val="nil"/>
              <w:bottom w:val="single" w:sz="4" w:space="0" w:color="auto"/>
              <w:right w:val="single" w:sz="4" w:space="0" w:color="auto"/>
            </w:tcBorders>
            <w:shd w:val="clear" w:color="auto" w:fill="auto"/>
            <w:noWrap/>
            <w:vAlign w:val="center"/>
            <w:hideMark/>
          </w:tcPr>
          <w:p w14:paraId="2CDD4D3D" w14:textId="77777777" w:rsidR="00420A1A" w:rsidRPr="00420A1A" w:rsidRDefault="00420A1A" w:rsidP="00D00EA2">
            <w:pPr>
              <w:pBdr>
                <w:top w:val="none" w:sz="0" w:space="0" w:color="auto"/>
                <w:left w:val="none" w:sz="0" w:space="0" w:color="auto"/>
                <w:bottom w:val="none" w:sz="0" w:space="0" w:color="auto"/>
                <w:right w:val="none" w:sz="0" w:space="0" w:color="auto"/>
                <w:between w:val="none" w:sz="0" w:space="0" w:color="auto"/>
                <w:bar w:val="none" w:sz="0" w:color="auto"/>
              </w:pBdr>
              <w:ind w:right="-107"/>
              <w:jc w:val="center"/>
              <w:rPr>
                <w:rFonts w:eastAsia="Times New Roman" w:cs="Times New Roman"/>
                <w:sz w:val="16"/>
                <w:szCs w:val="16"/>
                <w:bdr w:val="none" w:sz="0" w:space="0" w:color="auto"/>
                <w:lang w:val="en-GB" w:eastAsia="en-GB"/>
              </w:rPr>
            </w:pPr>
            <w:r w:rsidRPr="00420A1A">
              <w:rPr>
                <w:rFonts w:cs="Times New Roman"/>
                <w:sz w:val="16"/>
                <w:szCs w:val="16"/>
              </w:rPr>
              <w:t>24,0</w:t>
            </w:r>
          </w:p>
        </w:tc>
        <w:tc>
          <w:tcPr>
            <w:tcW w:w="273" w:type="pct"/>
            <w:gridSpan w:val="3"/>
            <w:tcBorders>
              <w:top w:val="nil"/>
              <w:left w:val="nil"/>
              <w:bottom w:val="single" w:sz="4" w:space="0" w:color="auto"/>
              <w:right w:val="single" w:sz="4" w:space="0" w:color="auto"/>
            </w:tcBorders>
            <w:shd w:val="clear" w:color="auto" w:fill="auto"/>
            <w:vAlign w:val="center"/>
            <w:hideMark/>
          </w:tcPr>
          <w:p w14:paraId="40E8E8B0"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tcPr>
          <w:p w14:paraId="42338560"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230 </w:t>
            </w:r>
          </w:p>
        </w:tc>
        <w:tc>
          <w:tcPr>
            <w:tcW w:w="199" w:type="pct"/>
            <w:gridSpan w:val="2"/>
            <w:tcBorders>
              <w:top w:val="nil"/>
              <w:left w:val="nil"/>
              <w:bottom w:val="single" w:sz="4" w:space="0" w:color="auto"/>
            </w:tcBorders>
            <w:shd w:val="clear" w:color="auto" w:fill="auto"/>
            <w:vAlign w:val="center"/>
          </w:tcPr>
          <w:p w14:paraId="4D907AC2"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65</w:t>
            </w:r>
          </w:p>
        </w:tc>
      </w:tr>
      <w:tr w:rsidR="00420A1A" w:rsidRPr="00922A9B" w14:paraId="39F3C059"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hideMark/>
          </w:tcPr>
          <w:p w14:paraId="47E64638"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7</w:t>
            </w:r>
          </w:p>
        </w:tc>
        <w:tc>
          <w:tcPr>
            <w:tcW w:w="371" w:type="pct"/>
            <w:gridSpan w:val="2"/>
            <w:tcBorders>
              <w:top w:val="nil"/>
              <w:left w:val="nil"/>
              <w:bottom w:val="single" w:sz="4" w:space="0" w:color="auto"/>
              <w:right w:val="single" w:sz="4" w:space="0" w:color="auto"/>
            </w:tcBorders>
            <w:shd w:val="clear" w:color="auto" w:fill="auto"/>
            <w:vAlign w:val="center"/>
            <w:hideMark/>
          </w:tcPr>
          <w:p w14:paraId="6820B4DF" w14:textId="77777777" w:rsid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2016-EU-TMC-0113</w:t>
            </w:r>
          </w:p>
          <w:p w14:paraId="49C7C9BE"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87" w:type="pct"/>
            <w:gridSpan w:val="2"/>
            <w:tcBorders>
              <w:top w:val="nil"/>
              <w:left w:val="nil"/>
              <w:bottom w:val="single" w:sz="4" w:space="0" w:color="auto"/>
              <w:right w:val="single" w:sz="4" w:space="0" w:color="auto"/>
            </w:tcBorders>
            <w:shd w:val="clear" w:color="auto" w:fill="auto"/>
            <w:vAlign w:val="center"/>
            <w:hideMark/>
          </w:tcPr>
          <w:p w14:paraId="10936C19"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ight="-21"/>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SESAR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Implementazio</w:t>
            </w:r>
            <w:proofErr w:type="spellEnd"/>
            <w:r>
              <w:rPr>
                <w:rFonts w:eastAsia="Times New Roman" w:cs="Times New Roman"/>
                <w:color w:val="auto"/>
                <w:sz w:val="16"/>
                <w:szCs w:val="16"/>
                <w:bdr w:val="none" w:sz="0" w:space="0" w:color="auto"/>
                <w:lang w:eastAsia="en-GB"/>
              </w:rPr>
              <w:t>-</w:t>
            </w: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del </w:t>
            </w:r>
            <w:proofErr w:type="spellStart"/>
            <w:r>
              <w:rPr>
                <w:rFonts w:eastAsia="Times New Roman" w:cs="Times New Roman"/>
                <w:color w:val="auto"/>
                <w:sz w:val="16"/>
                <w:szCs w:val="16"/>
                <w:bdr w:val="none" w:sz="0" w:space="0" w:color="auto"/>
                <w:lang w:eastAsia="en-GB"/>
              </w:rPr>
              <w:t>progr</w:t>
            </w:r>
            <w:proofErr w:type="spellEnd"/>
            <w:r w:rsidR="00D00EA2">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r w:rsidR="00C56F61">
              <w:rPr>
                <w:rFonts w:eastAsia="Times New Roman" w:cs="Times New Roman"/>
                <w:color w:val="auto"/>
                <w:sz w:val="16"/>
                <w:szCs w:val="16"/>
                <w:bdr w:val="none" w:sz="0" w:space="0" w:color="auto"/>
                <w:lang w:eastAsia="en-GB"/>
              </w:rPr>
              <w:t xml:space="preserve">di </w:t>
            </w:r>
            <w:r w:rsidRPr="00922A9B">
              <w:rPr>
                <w:rFonts w:eastAsia="Times New Roman" w:cs="Times New Roman"/>
                <w:color w:val="auto"/>
                <w:sz w:val="16"/>
                <w:szCs w:val="16"/>
                <w:bdr w:val="none" w:sz="0" w:space="0" w:color="auto"/>
                <w:lang w:eastAsia="en-GB"/>
              </w:rPr>
              <w:t>sviluppo del progetto per la gestione del traffico aereo</w:t>
            </w:r>
            <w:r w:rsidR="00D00EA2">
              <w:rPr>
                <w:rFonts w:eastAsia="Times New Roman" w:cs="Times New Roman"/>
                <w:color w:val="auto"/>
                <w:sz w:val="16"/>
                <w:szCs w:val="16"/>
                <w:bdr w:val="none" w:sz="0" w:space="0" w:color="auto"/>
                <w:lang w:eastAsia="en-GB"/>
              </w:rPr>
              <w:t xml:space="preserve"> Cluster </w:t>
            </w:r>
            <w:proofErr w:type="gramStart"/>
            <w:r w:rsidR="00D00EA2">
              <w:rPr>
                <w:rFonts w:eastAsia="Times New Roman" w:cs="Times New Roman"/>
                <w:color w:val="auto"/>
                <w:sz w:val="16"/>
                <w:szCs w:val="16"/>
                <w:bdr w:val="none" w:sz="0" w:space="0" w:color="auto"/>
                <w:lang w:eastAsia="en-GB"/>
              </w:rPr>
              <w:t xml:space="preserve">2 </w:t>
            </w:r>
            <w:r w:rsidR="00C56F61">
              <w:rPr>
                <w:rFonts w:eastAsia="Times New Roman" w:cs="Times New Roman"/>
                <w:color w:val="auto"/>
                <w:sz w:val="16"/>
                <w:szCs w:val="16"/>
                <w:bdr w:val="none" w:sz="0" w:space="0" w:color="auto"/>
                <w:lang w:eastAsia="en-GB"/>
              </w:rPr>
              <w:t xml:space="preserve"> -</w:t>
            </w:r>
            <w:proofErr w:type="gramEnd"/>
            <w:r w:rsidR="00C56F61">
              <w:rPr>
                <w:rFonts w:eastAsia="Times New Roman" w:cs="Times New Roman"/>
                <w:color w:val="auto"/>
                <w:sz w:val="16"/>
                <w:szCs w:val="16"/>
                <w:bdr w:val="none" w:sz="0" w:space="0" w:color="auto"/>
                <w:lang w:eastAsia="en-GB"/>
              </w:rPr>
              <w:t xml:space="preserve"> </w:t>
            </w:r>
            <w:proofErr w:type="spellStart"/>
            <w:r w:rsidR="00D00EA2">
              <w:rPr>
                <w:rFonts w:eastAsia="Times New Roman" w:cs="Times New Roman"/>
                <w:color w:val="auto"/>
                <w:sz w:val="16"/>
                <w:szCs w:val="16"/>
                <w:bdr w:val="none" w:sz="0" w:space="0" w:color="auto"/>
                <w:lang w:eastAsia="en-GB"/>
              </w:rPr>
              <w:t>Cohesion</w:t>
            </w:r>
            <w:proofErr w:type="spellEnd"/>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02A6A80B" w14:textId="77777777" w:rsidR="00420A1A" w:rsidRPr="00626397"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sidRPr="00626397">
              <w:rPr>
                <w:rFonts w:eastAsia="Times New Roman" w:cs="Times New Roman"/>
                <w:color w:val="auto"/>
                <w:sz w:val="16"/>
                <w:szCs w:val="16"/>
                <w:bdr w:val="none" w:sz="0" w:space="0" w:color="auto"/>
                <w:lang w:eastAsia="en-GB"/>
              </w:rPr>
              <w:t>31/12/20</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4E8960DF"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3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075631AB"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2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10BC31C2"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9.419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1ECDA1A4"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7.973 </w:t>
            </w:r>
          </w:p>
        </w:tc>
        <w:tc>
          <w:tcPr>
            <w:tcW w:w="411" w:type="pct"/>
            <w:gridSpan w:val="4"/>
            <w:tcBorders>
              <w:top w:val="nil"/>
              <w:left w:val="nil"/>
              <w:bottom w:val="single" w:sz="4" w:space="0" w:color="auto"/>
              <w:right w:val="single" w:sz="4" w:space="0" w:color="auto"/>
            </w:tcBorders>
            <w:shd w:val="clear" w:color="auto" w:fill="auto"/>
            <w:noWrap/>
            <w:vAlign w:val="center"/>
          </w:tcPr>
          <w:p w14:paraId="51BED2F7"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   </w:t>
            </w:r>
          </w:p>
        </w:tc>
        <w:tc>
          <w:tcPr>
            <w:tcW w:w="344" w:type="pct"/>
            <w:gridSpan w:val="3"/>
            <w:tcBorders>
              <w:top w:val="nil"/>
              <w:left w:val="nil"/>
              <w:bottom w:val="single" w:sz="4" w:space="0" w:color="auto"/>
              <w:right w:val="single" w:sz="4" w:space="0" w:color="auto"/>
            </w:tcBorders>
            <w:shd w:val="clear" w:color="auto" w:fill="auto"/>
            <w:noWrap/>
            <w:vAlign w:val="center"/>
          </w:tcPr>
          <w:p w14:paraId="20B02506"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right="-107"/>
              <w:jc w:val="center"/>
              <w:rPr>
                <w:rFonts w:eastAsia="Times New Roman" w:cs="Times New Roman"/>
                <w:sz w:val="16"/>
                <w:szCs w:val="16"/>
                <w:bdr w:val="none" w:sz="0" w:space="0" w:color="auto"/>
                <w:lang w:eastAsia="en-GB"/>
              </w:rPr>
            </w:pPr>
            <w:r w:rsidRPr="00420A1A">
              <w:rPr>
                <w:rFonts w:cs="Times New Roman"/>
                <w:sz w:val="16"/>
                <w:szCs w:val="16"/>
              </w:rPr>
              <w:t>0,0</w:t>
            </w:r>
          </w:p>
        </w:tc>
        <w:tc>
          <w:tcPr>
            <w:tcW w:w="273" w:type="pct"/>
            <w:gridSpan w:val="3"/>
            <w:tcBorders>
              <w:top w:val="nil"/>
              <w:left w:val="nil"/>
              <w:bottom w:val="single" w:sz="4" w:space="0" w:color="auto"/>
              <w:right w:val="single" w:sz="4" w:space="0" w:color="auto"/>
            </w:tcBorders>
            <w:shd w:val="clear" w:color="auto" w:fill="auto"/>
            <w:vAlign w:val="center"/>
          </w:tcPr>
          <w:p w14:paraId="2089221C"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hideMark/>
          </w:tcPr>
          <w:p w14:paraId="47EE5839"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3 </w:t>
            </w:r>
          </w:p>
        </w:tc>
        <w:tc>
          <w:tcPr>
            <w:tcW w:w="199" w:type="pct"/>
            <w:gridSpan w:val="2"/>
            <w:tcBorders>
              <w:top w:val="nil"/>
              <w:left w:val="nil"/>
              <w:bottom w:val="single" w:sz="4" w:space="0" w:color="auto"/>
            </w:tcBorders>
            <w:shd w:val="clear" w:color="auto" w:fill="auto"/>
            <w:vAlign w:val="center"/>
          </w:tcPr>
          <w:p w14:paraId="1DBB6A8F"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67</w:t>
            </w:r>
          </w:p>
        </w:tc>
      </w:tr>
      <w:tr w:rsidR="00420A1A" w:rsidRPr="00922A9B" w14:paraId="3795227C" w14:textId="77777777" w:rsidTr="00C56F61">
        <w:trPr>
          <w:trHeight w:val="280"/>
        </w:trPr>
        <w:tc>
          <w:tcPr>
            <w:tcW w:w="230" w:type="pct"/>
            <w:tcBorders>
              <w:top w:val="nil"/>
              <w:left w:val="nil"/>
              <w:bottom w:val="single" w:sz="4" w:space="0" w:color="auto"/>
              <w:right w:val="single" w:sz="4" w:space="0" w:color="auto"/>
            </w:tcBorders>
            <w:shd w:val="clear" w:color="auto" w:fill="auto"/>
            <w:noWrap/>
            <w:vAlign w:val="center"/>
            <w:hideMark/>
          </w:tcPr>
          <w:p w14:paraId="5726EC59" w14:textId="77777777" w:rsidR="00420A1A" w:rsidRPr="00626397"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sidRPr="00626397">
              <w:rPr>
                <w:rFonts w:eastAsia="Times New Roman" w:cs="Times New Roman"/>
                <w:color w:val="auto"/>
                <w:sz w:val="16"/>
                <w:szCs w:val="16"/>
                <w:bdr w:val="none" w:sz="0" w:space="0" w:color="auto"/>
                <w:lang w:eastAsia="en-GB"/>
              </w:rPr>
              <w:t>8</w:t>
            </w:r>
          </w:p>
        </w:tc>
        <w:tc>
          <w:tcPr>
            <w:tcW w:w="371" w:type="pct"/>
            <w:gridSpan w:val="2"/>
            <w:tcBorders>
              <w:top w:val="nil"/>
              <w:left w:val="nil"/>
              <w:bottom w:val="single" w:sz="4" w:space="0" w:color="auto"/>
              <w:right w:val="single" w:sz="4" w:space="0" w:color="auto"/>
            </w:tcBorders>
            <w:shd w:val="clear" w:color="auto" w:fill="auto"/>
            <w:vAlign w:val="center"/>
            <w:hideMark/>
          </w:tcPr>
          <w:p w14:paraId="0B460041" w14:textId="77777777" w:rsidR="00420A1A" w:rsidRPr="00626397"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eastAsia="en-GB"/>
              </w:rPr>
            </w:pPr>
            <w:r w:rsidRPr="00626397">
              <w:rPr>
                <w:rFonts w:eastAsia="Times New Roman" w:cs="Times New Roman"/>
                <w:color w:val="auto"/>
                <w:sz w:val="16"/>
                <w:szCs w:val="16"/>
                <w:bdr w:val="none" w:sz="0" w:space="0" w:color="auto"/>
                <w:lang w:eastAsia="en-GB"/>
              </w:rPr>
              <w:t>2017-EU-TM-0076</w:t>
            </w:r>
          </w:p>
          <w:p w14:paraId="17848300" w14:textId="77777777" w:rsidR="00420A1A" w:rsidRPr="00626397"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eastAsia="en-GB"/>
              </w:rPr>
            </w:pPr>
            <w:r w:rsidRPr="00626397">
              <w:rPr>
                <w:rFonts w:eastAsia="Times New Roman" w:cs="Times New Roman"/>
                <w:color w:val="auto"/>
                <w:sz w:val="16"/>
                <w:szCs w:val="16"/>
                <w:bdr w:val="none" w:sz="0" w:space="0" w:color="auto"/>
                <w:lang w:eastAsia="en-GB"/>
              </w:rPr>
              <w:t>-M</w:t>
            </w:r>
          </w:p>
        </w:tc>
        <w:tc>
          <w:tcPr>
            <w:tcW w:w="587" w:type="pct"/>
            <w:gridSpan w:val="2"/>
            <w:tcBorders>
              <w:top w:val="nil"/>
              <w:left w:val="nil"/>
              <w:bottom w:val="single" w:sz="4" w:space="0" w:color="auto"/>
              <w:right w:val="single" w:sz="4" w:space="0" w:color="auto"/>
            </w:tcBorders>
            <w:shd w:val="clear" w:color="auto" w:fill="auto"/>
            <w:vAlign w:val="center"/>
            <w:hideMark/>
          </w:tcPr>
          <w:p w14:paraId="51A2521E" w14:textId="77777777" w:rsidR="00420A1A" w:rsidRPr="0084292F"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SESAR </w:t>
            </w:r>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w:t>
            </w:r>
            <w:proofErr w:type="spellStart"/>
            <w:r w:rsidRPr="00922A9B">
              <w:rPr>
                <w:rFonts w:eastAsia="Times New Roman" w:cs="Times New Roman"/>
                <w:color w:val="auto"/>
                <w:sz w:val="16"/>
                <w:szCs w:val="16"/>
                <w:bdr w:val="none" w:sz="0" w:space="0" w:color="auto"/>
                <w:lang w:eastAsia="en-GB"/>
              </w:rPr>
              <w:t>Implementazio</w:t>
            </w:r>
            <w:proofErr w:type="spellEnd"/>
            <w:r>
              <w:rPr>
                <w:rFonts w:eastAsia="Times New Roman" w:cs="Times New Roman"/>
                <w:color w:val="auto"/>
                <w:sz w:val="16"/>
                <w:szCs w:val="16"/>
                <w:bdr w:val="none" w:sz="0" w:space="0" w:color="auto"/>
                <w:lang w:eastAsia="en-GB"/>
              </w:rPr>
              <w:t>-</w:t>
            </w:r>
          </w:p>
          <w:p w14:paraId="5B352ECD"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proofErr w:type="spellStart"/>
            <w:r w:rsidRPr="00922A9B">
              <w:rPr>
                <w:rFonts w:eastAsia="Times New Roman" w:cs="Times New Roman"/>
                <w:color w:val="auto"/>
                <w:sz w:val="16"/>
                <w:szCs w:val="16"/>
                <w:bdr w:val="none" w:sz="0" w:space="0" w:color="auto"/>
                <w:lang w:eastAsia="en-GB"/>
              </w:rPr>
              <w:t>ne</w:t>
            </w:r>
            <w:proofErr w:type="spellEnd"/>
            <w:r w:rsidRPr="00922A9B">
              <w:rPr>
                <w:rFonts w:eastAsia="Times New Roman" w:cs="Times New Roman"/>
                <w:color w:val="auto"/>
                <w:sz w:val="16"/>
                <w:szCs w:val="16"/>
                <w:bdr w:val="none" w:sz="0" w:space="0" w:color="auto"/>
                <w:lang w:eastAsia="en-GB"/>
              </w:rPr>
              <w:t xml:space="preserve"> del </w:t>
            </w:r>
            <w:proofErr w:type="spellStart"/>
            <w:r>
              <w:rPr>
                <w:rFonts w:eastAsia="Times New Roman" w:cs="Times New Roman"/>
                <w:color w:val="auto"/>
                <w:sz w:val="16"/>
                <w:szCs w:val="16"/>
                <w:bdr w:val="none" w:sz="0" w:space="0" w:color="auto"/>
                <w:lang w:eastAsia="en-GB"/>
              </w:rPr>
              <w:t>prog</w:t>
            </w:r>
            <w:proofErr w:type="spellEnd"/>
            <w:r>
              <w:rPr>
                <w:rFonts w:eastAsia="Times New Roman" w:cs="Times New Roman"/>
                <w:color w:val="auto"/>
                <w:sz w:val="16"/>
                <w:szCs w:val="16"/>
                <w:bdr w:val="none" w:sz="0" w:space="0" w:color="auto"/>
                <w:lang w:eastAsia="en-GB"/>
              </w:rPr>
              <w:t>.</w:t>
            </w:r>
            <w:r w:rsidRPr="00922A9B">
              <w:rPr>
                <w:rFonts w:eastAsia="Times New Roman" w:cs="Times New Roman"/>
                <w:color w:val="auto"/>
                <w:sz w:val="16"/>
                <w:szCs w:val="16"/>
                <w:bdr w:val="none" w:sz="0" w:space="0" w:color="auto"/>
                <w:lang w:eastAsia="en-GB"/>
              </w:rPr>
              <w:t xml:space="preserve"> di sviluppo del progetto per la gestione del traffico aereo (ATM) 2017</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22514983"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31/12/23</w:t>
            </w:r>
          </w:p>
        </w:tc>
        <w:tc>
          <w:tcPr>
            <w:tcW w:w="392" w:type="pct"/>
            <w:gridSpan w:val="2"/>
            <w:tcBorders>
              <w:top w:val="nil"/>
              <w:left w:val="nil"/>
              <w:bottom w:val="single" w:sz="4" w:space="0" w:color="auto"/>
              <w:right w:val="single" w:sz="4" w:space="0" w:color="auto"/>
            </w:tcBorders>
            <w:shd w:val="clear" w:color="auto" w:fill="auto"/>
            <w:noWrap/>
            <w:vAlign w:val="center"/>
          </w:tcPr>
          <w:p w14:paraId="237DF4AB"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 63.262 </w:t>
            </w:r>
          </w:p>
        </w:tc>
        <w:tc>
          <w:tcPr>
            <w:tcW w:w="522" w:type="pct"/>
            <w:gridSpan w:val="4"/>
            <w:tcBorders>
              <w:top w:val="nil"/>
              <w:left w:val="nil"/>
              <w:bottom w:val="single" w:sz="4" w:space="0" w:color="auto"/>
              <w:right w:val="single" w:sz="4" w:space="0" w:color="auto"/>
            </w:tcBorders>
            <w:shd w:val="clear" w:color="auto" w:fill="auto"/>
            <w:noWrap/>
            <w:vAlign w:val="center"/>
          </w:tcPr>
          <w:p w14:paraId="322001F0"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31.631 </w:t>
            </w:r>
          </w:p>
        </w:tc>
        <w:tc>
          <w:tcPr>
            <w:tcW w:w="505" w:type="pct"/>
            <w:gridSpan w:val="5"/>
            <w:tcBorders>
              <w:top w:val="nil"/>
              <w:left w:val="nil"/>
              <w:bottom w:val="single" w:sz="4" w:space="0" w:color="auto"/>
              <w:right w:val="single" w:sz="4" w:space="0" w:color="auto"/>
            </w:tcBorders>
            <w:shd w:val="clear" w:color="auto" w:fill="auto"/>
            <w:noWrap/>
            <w:vAlign w:val="center"/>
          </w:tcPr>
          <w:p w14:paraId="10F72869"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457.645 </w:t>
            </w:r>
          </w:p>
        </w:tc>
        <w:tc>
          <w:tcPr>
            <w:tcW w:w="479" w:type="pct"/>
            <w:gridSpan w:val="4"/>
            <w:tcBorders>
              <w:top w:val="nil"/>
              <w:left w:val="nil"/>
              <w:bottom w:val="single" w:sz="4" w:space="0" w:color="auto"/>
              <w:right w:val="single" w:sz="4" w:space="0" w:color="auto"/>
            </w:tcBorders>
            <w:shd w:val="clear" w:color="auto" w:fill="auto"/>
            <w:noWrap/>
            <w:vAlign w:val="center"/>
          </w:tcPr>
          <w:p w14:paraId="74D5FDE9"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228.157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507AD592"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Pr>
                <w:rFonts w:cs="Times New Roman"/>
                <w:sz w:val="16"/>
                <w:szCs w:val="16"/>
              </w:rPr>
              <w:t>8</w:t>
            </w:r>
            <w:r w:rsidRPr="00420A1A">
              <w:rPr>
                <w:rFonts w:cs="Times New Roman"/>
                <w:sz w:val="16"/>
                <w:szCs w:val="16"/>
              </w:rPr>
              <w:t xml:space="preserve">.000 </w:t>
            </w:r>
          </w:p>
        </w:tc>
        <w:tc>
          <w:tcPr>
            <w:tcW w:w="344" w:type="pct"/>
            <w:gridSpan w:val="3"/>
            <w:tcBorders>
              <w:top w:val="nil"/>
              <w:left w:val="nil"/>
              <w:bottom w:val="single" w:sz="4" w:space="0" w:color="auto"/>
              <w:right w:val="single" w:sz="4" w:space="0" w:color="auto"/>
            </w:tcBorders>
            <w:shd w:val="clear" w:color="auto" w:fill="auto"/>
            <w:noWrap/>
            <w:vAlign w:val="center"/>
            <w:hideMark/>
          </w:tcPr>
          <w:p w14:paraId="13601AAF"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tabs>
                <w:tab w:val="left" w:pos="316"/>
              </w:tabs>
              <w:ind w:left="-109" w:right="-107"/>
              <w:jc w:val="center"/>
              <w:rPr>
                <w:rFonts w:eastAsia="Times New Roman" w:cs="Times New Roman"/>
                <w:color w:val="auto"/>
                <w:sz w:val="16"/>
                <w:szCs w:val="16"/>
                <w:bdr w:val="none" w:sz="0" w:space="0" w:color="auto"/>
                <w:lang w:val="en-GB" w:eastAsia="en-GB"/>
              </w:rPr>
            </w:pPr>
            <w:r w:rsidRPr="00420A1A">
              <w:rPr>
                <w:rFonts w:cs="Times New Roman"/>
                <w:sz w:val="16"/>
                <w:szCs w:val="16"/>
              </w:rPr>
              <w:t>25,3</w:t>
            </w:r>
          </w:p>
        </w:tc>
        <w:tc>
          <w:tcPr>
            <w:tcW w:w="273" w:type="pct"/>
            <w:gridSpan w:val="3"/>
            <w:tcBorders>
              <w:top w:val="nil"/>
              <w:left w:val="nil"/>
              <w:bottom w:val="single" w:sz="4" w:space="0" w:color="auto"/>
              <w:right w:val="single" w:sz="4" w:space="0" w:color="auto"/>
            </w:tcBorders>
            <w:shd w:val="clear" w:color="auto" w:fill="auto"/>
            <w:vAlign w:val="center"/>
            <w:hideMark/>
          </w:tcPr>
          <w:p w14:paraId="68EC5A7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tcPr>
          <w:p w14:paraId="4E57EF48"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420A1A">
              <w:rPr>
                <w:rFonts w:cs="Times New Roman"/>
                <w:sz w:val="16"/>
                <w:szCs w:val="16"/>
              </w:rPr>
              <w:t xml:space="preserve">17.408 </w:t>
            </w:r>
          </w:p>
        </w:tc>
        <w:tc>
          <w:tcPr>
            <w:tcW w:w="199" w:type="pct"/>
            <w:gridSpan w:val="2"/>
            <w:tcBorders>
              <w:top w:val="nil"/>
              <w:left w:val="nil"/>
              <w:bottom w:val="single" w:sz="4" w:space="0" w:color="auto"/>
            </w:tcBorders>
            <w:shd w:val="clear" w:color="auto" w:fill="auto"/>
            <w:vAlign w:val="center"/>
          </w:tcPr>
          <w:p w14:paraId="1E838BC1" w14:textId="77777777" w:rsidR="00420A1A" w:rsidRPr="00420A1A"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42</w:t>
            </w:r>
          </w:p>
        </w:tc>
      </w:tr>
      <w:tr w:rsidR="00420A1A" w:rsidRPr="00922A9B" w14:paraId="752753AD" w14:textId="77777777" w:rsidTr="00C56F61">
        <w:trPr>
          <w:trHeight w:val="1125"/>
        </w:trPr>
        <w:tc>
          <w:tcPr>
            <w:tcW w:w="230" w:type="pct"/>
            <w:tcBorders>
              <w:top w:val="nil"/>
              <w:left w:val="nil"/>
              <w:bottom w:val="single" w:sz="4" w:space="0" w:color="auto"/>
              <w:right w:val="single" w:sz="4" w:space="0" w:color="auto"/>
            </w:tcBorders>
            <w:shd w:val="clear" w:color="auto" w:fill="auto"/>
            <w:noWrap/>
            <w:vAlign w:val="center"/>
            <w:hideMark/>
          </w:tcPr>
          <w:p w14:paraId="6F58D1CD"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9</w:t>
            </w:r>
          </w:p>
        </w:tc>
        <w:tc>
          <w:tcPr>
            <w:tcW w:w="371" w:type="pct"/>
            <w:gridSpan w:val="2"/>
            <w:tcBorders>
              <w:top w:val="nil"/>
              <w:left w:val="nil"/>
              <w:bottom w:val="single" w:sz="4" w:space="0" w:color="auto"/>
              <w:right w:val="single" w:sz="4" w:space="0" w:color="auto"/>
            </w:tcBorders>
            <w:shd w:val="clear" w:color="auto" w:fill="auto"/>
            <w:vAlign w:val="center"/>
            <w:hideMark/>
          </w:tcPr>
          <w:p w14:paraId="3D758EBF" w14:textId="77777777" w:rsidR="00420A1A" w:rsidRPr="00922A9B"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108" w:right="-104"/>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(2018) SJU/LC/0340-CTR</w:t>
            </w:r>
          </w:p>
        </w:tc>
        <w:tc>
          <w:tcPr>
            <w:tcW w:w="587" w:type="pct"/>
            <w:gridSpan w:val="2"/>
            <w:tcBorders>
              <w:top w:val="nil"/>
              <w:left w:val="nil"/>
              <w:bottom w:val="single" w:sz="4" w:space="0" w:color="auto"/>
              <w:right w:val="single" w:sz="4" w:space="0" w:color="auto"/>
            </w:tcBorders>
            <w:shd w:val="clear" w:color="auto" w:fill="auto"/>
            <w:vAlign w:val="center"/>
            <w:hideMark/>
          </w:tcPr>
          <w:p w14:paraId="61F2172B" w14:textId="77777777" w:rsidR="00420A1A" w:rsidRPr="00B70F83"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6A251E">
              <w:rPr>
                <w:rFonts w:eastAsia="Times New Roman" w:cs="Times New Roman"/>
                <w:color w:val="auto"/>
                <w:sz w:val="16"/>
                <w:szCs w:val="16"/>
                <w:bdr w:val="none" w:sz="0" w:space="0" w:color="auto"/>
                <w:lang w:eastAsia="en-GB"/>
              </w:rPr>
              <w:t xml:space="preserve">DIODE - (D-Flight Internet of </w:t>
            </w:r>
            <w:proofErr w:type="spellStart"/>
            <w:r w:rsidRPr="006A251E">
              <w:rPr>
                <w:rFonts w:eastAsia="Times New Roman" w:cs="Times New Roman"/>
                <w:color w:val="auto"/>
                <w:sz w:val="16"/>
                <w:szCs w:val="16"/>
                <w:bdr w:val="none" w:sz="0" w:space="0" w:color="auto"/>
                <w:lang w:eastAsia="en-GB"/>
              </w:rPr>
              <w:t>Drones</w:t>
            </w:r>
            <w:proofErr w:type="spellEnd"/>
            <w:r w:rsidRPr="006A251E">
              <w:rPr>
                <w:rFonts w:eastAsia="Times New Roman" w:cs="Times New Roman"/>
                <w:color w:val="auto"/>
                <w:sz w:val="16"/>
                <w:szCs w:val="16"/>
                <w:bdr w:val="none" w:sz="0" w:space="0" w:color="auto"/>
                <w:lang w:eastAsia="en-GB"/>
              </w:rPr>
              <w:t xml:space="preserve"> Environment) </w:t>
            </w:r>
            <w:r>
              <w:rPr>
                <w:rFonts w:eastAsia="Times New Roman" w:cs="Times New Roman"/>
                <w:color w:val="auto"/>
                <w:sz w:val="16"/>
                <w:szCs w:val="16"/>
                <w:bdr w:val="none" w:sz="0" w:space="0" w:color="auto"/>
                <w:lang w:eastAsia="en-GB"/>
              </w:rPr>
              <w:t>Dimostrazione del</w:t>
            </w:r>
            <w:r w:rsidRPr="006A251E">
              <w:rPr>
                <w:rFonts w:eastAsia="Times New Roman" w:cs="Times New Roman"/>
                <w:color w:val="auto"/>
                <w:sz w:val="16"/>
                <w:szCs w:val="16"/>
                <w:bdr w:val="none" w:sz="0" w:space="0" w:color="auto"/>
                <w:lang w:eastAsia="en-GB"/>
              </w:rPr>
              <w:t xml:space="preserve">l'efficacia dei servizi U-Space (U1 - </w:t>
            </w:r>
            <w:proofErr w:type="spellStart"/>
            <w:r w:rsidRPr="006A251E">
              <w:rPr>
                <w:rFonts w:eastAsia="Times New Roman" w:cs="Times New Roman"/>
                <w:color w:val="auto"/>
                <w:sz w:val="16"/>
                <w:szCs w:val="16"/>
                <w:bdr w:val="none" w:sz="0" w:space="0" w:color="auto"/>
                <w:lang w:eastAsia="en-GB"/>
              </w:rPr>
              <w:t>foundation</w:t>
            </w:r>
            <w:proofErr w:type="spellEnd"/>
            <w:r w:rsidRPr="006A251E">
              <w:rPr>
                <w:rFonts w:eastAsia="Times New Roman" w:cs="Times New Roman"/>
                <w:color w:val="auto"/>
                <w:sz w:val="16"/>
                <w:szCs w:val="16"/>
                <w:bdr w:val="none" w:sz="0" w:space="0" w:color="auto"/>
                <w:lang w:eastAsia="en-GB"/>
              </w:rPr>
              <w:t xml:space="preserve">, U2 - </w:t>
            </w:r>
            <w:proofErr w:type="spellStart"/>
            <w:r w:rsidRPr="006A251E">
              <w:rPr>
                <w:rFonts w:eastAsia="Times New Roman" w:cs="Times New Roman"/>
                <w:color w:val="auto"/>
                <w:sz w:val="16"/>
                <w:szCs w:val="16"/>
                <w:bdr w:val="none" w:sz="0" w:space="0" w:color="auto"/>
                <w:lang w:eastAsia="en-GB"/>
              </w:rPr>
              <w:t>initial</w:t>
            </w:r>
            <w:proofErr w:type="spellEnd"/>
            <w:r w:rsidRPr="006A251E">
              <w:rPr>
                <w:rFonts w:eastAsia="Times New Roman" w:cs="Times New Roman"/>
                <w:color w:val="auto"/>
                <w:sz w:val="16"/>
                <w:szCs w:val="16"/>
                <w:bdr w:val="none" w:sz="0" w:space="0" w:color="auto"/>
                <w:lang w:eastAsia="en-GB"/>
              </w:rPr>
              <w:t xml:space="preserve">, U3 – </w:t>
            </w:r>
            <w:proofErr w:type="spellStart"/>
            <w:r w:rsidRPr="006A251E">
              <w:rPr>
                <w:rFonts w:eastAsia="Times New Roman" w:cs="Times New Roman"/>
                <w:color w:val="auto"/>
                <w:sz w:val="16"/>
                <w:szCs w:val="16"/>
                <w:bdr w:val="none" w:sz="0" w:space="0" w:color="auto"/>
                <w:lang w:eastAsia="en-GB"/>
              </w:rPr>
              <w:t>advance</w:t>
            </w:r>
            <w:proofErr w:type="spellEnd"/>
            <w:r w:rsidRPr="006A251E">
              <w:rPr>
                <w:rFonts w:eastAsia="Times New Roman" w:cs="Times New Roman"/>
                <w:color w:val="auto"/>
                <w:sz w:val="16"/>
                <w:szCs w:val="16"/>
                <w:bdr w:val="none" w:sz="0" w:space="0" w:color="auto"/>
                <w:lang w:eastAsia="en-GB"/>
              </w:rPr>
              <w:t xml:space="preserve"> services) nell'assicurare un livello di </w:t>
            </w:r>
            <w:r>
              <w:rPr>
                <w:rFonts w:eastAsia="Times New Roman" w:cs="Times New Roman"/>
                <w:color w:val="auto"/>
                <w:sz w:val="16"/>
                <w:szCs w:val="16"/>
                <w:bdr w:val="none" w:sz="0" w:space="0" w:color="auto"/>
                <w:lang w:eastAsia="en-GB"/>
              </w:rPr>
              <w:t xml:space="preserve">                                    </w:t>
            </w:r>
            <w:r w:rsidRPr="006A251E">
              <w:rPr>
                <w:rFonts w:eastAsia="Times New Roman" w:cs="Times New Roman"/>
                <w:color w:val="auto"/>
                <w:sz w:val="16"/>
                <w:szCs w:val="16"/>
                <w:bdr w:val="none" w:sz="0" w:space="0" w:color="auto"/>
                <w:lang w:eastAsia="en-GB"/>
              </w:rPr>
              <w:t xml:space="preserve">sicurezza adeguato </w:t>
            </w:r>
            <w:proofErr w:type="gramStart"/>
            <w:r w:rsidRPr="006A251E">
              <w:rPr>
                <w:rFonts w:eastAsia="Times New Roman" w:cs="Times New Roman"/>
                <w:color w:val="auto"/>
                <w:sz w:val="16"/>
                <w:szCs w:val="16"/>
                <w:bdr w:val="none" w:sz="0" w:space="0" w:color="auto"/>
                <w:lang w:eastAsia="en-GB"/>
              </w:rPr>
              <w:t>per</w:t>
            </w:r>
            <w:proofErr w:type="gramEnd"/>
            <w:r w:rsidRPr="006A251E">
              <w:rPr>
                <w:rFonts w:eastAsia="Times New Roman" w:cs="Times New Roman"/>
                <w:color w:val="auto"/>
                <w:sz w:val="16"/>
                <w:szCs w:val="16"/>
                <w:bdr w:val="none" w:sz="0" w:space="0" w:color="auto"/>
                <w:lang w:eastAsia="en-GB"/>
              </w:rPr>
              <w:t xml:space="preserve"> operazioni con molteplici droni nella stessa area.</w:t>
            </w:r>
            <w:r>
              <w:rPr>
                <w:rFonts w:eastAsia="Times New Roman" w:cs="Times New Roman"/>
                <w:color w:val="auto"/>
                <w:sz w:val="16"/>
                <w:szCs w:val="16"/>
                <w:bdr w:val="none" w:sz="0" w:space="0" w:color="auto"/>
                <w:lang w:eastAsia="en-GB"/>
              </w:rPr>
              <w:t xml:space="preserve">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1F6FA809" w14:textId="77777777" w:rsidR="00420A1A" w:rsidRPr="006362D4"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sidRPr="006362D4">
              <w:rPr>
                <w:rFonts w:eastAsia="Times New Roman" w:cs="Times New Roman"/>
                <w:color w:val="auto"/>
                <w:sz w:val="16"/>
                <w:szCs w:val="16"/>
                <w:bdr w:val="none" w:sz="0" w:space="0" w:color="auto"/>
                <w:lang w:eastAsia="en-GB"/>
              </w:rPr>
              <w:t>31/03/20</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198E2BD3"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3.957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7E340D39"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1.978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2DEC402A"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3.957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5B6659DB"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1.978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00921528"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495 </w:t>
            </w:r>
          </w:p>
        </w:tc>
        <w:tc>
          <w:tcPr>
            <w:tcW w:w="344" w:type="pct"/>
            <w:gridSpan w:val="3"/>
            <w:tcBorders>
              <w:top w:val="nil"/>
              <w:left w:val="nil"/>
              <w:bottom w:val="single" w:sz="4" w:space="0" w:color="auto"/>
              <w:right w:val="single" w:sz="4" w:space="0" w:color="auto"/>
            </w:tcBorders>
            <w:shd w:val="clear" w:color="auto" w:fill="auto"/>
            <w:noWrap/>
            <w:vAlign w:val="center"/>
            <w:hideMark/>
          </w:tcPr>
          <w:p w14:paraId="7F4256E6"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ind w:right="-107"/>
              <w:jc w:val="center"/>
              <w:rPr>
                <w:rFonts w:eastAsia="Times New Roman" w:cs="Times New Roman"/>
                <w:color w:val="auto"/>
                <w:sz w:val="16"/>
                <w:szCs w:val="16"/>
                <w:bdr w:val="none" w:sz="0" w:space="0" w:color="auto"/>
                <w:lang w:eastAsia="en-GB"/>
              </w:rPr>
            </w:pPr>
            <w:r w:rsidRPr="00420A1A">
              <w:rPr>
                <w:rFonts w:cs="Times New Roman"/>
                <w:sz w:val="16"/>
                <w:szCs w:val="16"/>
              </w:rPr>
              <w:t>25,0</w:t>
            </w:r>
          </w:p>
        </w:tc>
        <w:tc>
          <w:tcPr>
            <w:tcW w:w="273" w:type="pct"/>
            <w:gridSpan w:val="3"/>
            <w:tcBorders>
              <w:top w:val="nil"/>
              <w:left w:val="nil"/>
              <w:bottom w:val="single" w:sz="4" w:space="0" w:color="auto"/>
              <w:right w:val="single" w:sz="4" w:space="0" w:color="auto"/>
            </w:tcBorders>
            <w:shd w:val="clear" w:color="auto" w:fill="auto"/>
            <w:vAlign w:val="center"/>
          </w:tcPr>
          <w:p w14:paraId="2F0CBEAD"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   </w:t>
            </w:r>
          </w:p>
        </w:tc>
        <w:tc>
          <w:tcPr>
            <w:tcW w:w="467" w:type="pct"/>
            <w:gridSpan w:val="3"/>
            <w:tcBorders>
              <w:top w:val="nil"/>
              <w:left w:val="nil"/>
              <w:bottom w:val="single" w:sz="4" w:space="0" w:color="auto"/>
              <w:right w:val="single" w:sz="4" w:space="0" w:color="auto"/>
            </w:tcBorders>
            <w:shd w:val="clear" w:color="auto" w:fill="auto"/>
            <w:vAlign w:val="center"/>
          </w:tcPr>
          <w:p w14:paraId="16FBC14D" w14:textId="77777777" w:rsidR="00420A1A" w:rsidRPr="00420A1A" w:rsidRDefault="00420A1A" w:rsidP="00420A1A">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420A1A">
              <w:rPr>
                <w:rFonts w:cs="Times New Roman"/>
                <w:sz w:val="16"/>
                <w:szCs w:val="16"/>
              </w:rPr>
              <w:t xml:space="preserve">1.619 </w:t>
            </w:r>
          </w:p>
        </w:tc>
        <w:tc>
          <w:tcPr>
            <w:tcW w:w="199" w:type="pct"/>
            <w:gridSpan w:val="2"/>
            <w:tcBorders>
              <w:top w:val="nil"/>
              <w:left w:val="nil"/>
              <w:bottom w:val="single" w:sz="4" w:space="0" w:color="auto"/>
            </w:tcBorders>
            <w:shd w:val="clear" w:color="auto" w:fill="auto"/>
            <w:vAlign w:val="center"/>
          </w:tcPr>
          <w:p w14:paraId="53336144" w14:textId="77777777" w:rsidR="00420A1A" w:rsidRPr="00420A1A" w:rsidRDefault="00420A1A" w:rsidP="00326932">
            <w:pPr>
              <w:pBdr>
                <w:top w:val="none" w:sz="0" w:space="0" w:color="auto"/>
                <w:left w:val="none" w:sz="0" w:space="0" w:color="auto"/>
                <w:bottom w:val="none" w:sz="0" w:space="0" w:color="auto"/>
                <w:right w:val="none" w:sz="0" w:space="0" w:color="auto"/>
                <w:between w:val="none" w:sz="0" w:space="0" w:color="auto"/>
                <w:bar w:val="none" w:sz="0" w:color="auto"/>
              </w:pBdr>
              <w:ind w:right="-87"/>
              <w:jc w:val="center"/>
              <w:rPr>
                <w:rFonts w:eastAsia="Times New Roman" w:cs="Times New Roman"/>
                <w:color w:val="auto"/>
                <w:sz w:val="16"/>
                <w:szCs w:val="16"/>
                <w:bdr w:val="none" w:sz="0" w:space="0" w:color="auto"/>
                <w:lang w:eastAsia="en-GB"/>
              </w:rPr>
            </w:pPr>
            <w:r w:rsidRPr="00420A1A">
              <w:rPr>
                <w:rFonts w:cs="Times New Roman"/>
                <w:sz w:val="16"/>
                <w:szCs w:val="16"/>
              </w:rPr>
              <w:t>100</w:t>
            </w:r>
          </w:p>
        </w:tc>
      </w:tr>
      <w:tr w:rsidR="00B326C9" w:rsidRPr="00922A9B" w14:paraId="4EE3F105" w14:textId="77777777" w:rsidTr="00C56F61">
        <w:trPr>
          <w:trHeight w:val="561"/>
        </w:trPr>
        <w:tc>
          <w:tcPr>
            <w:tcW w:w="1408" w:type="pct"/>
            <w:gridSpan w:val="7"/>
            <w:tcBorders>
              <w:top w:val="single" w:sz="4" w:space="0" w:color="auto"/>
              <w:left w:val="nil"/>
              <w:bottom w:val="single" w:sz="4" w:space="0" w:color="auto"/>
              <w:right w:val="single" w:sz="4" w:space="0" w:color="auto"/>
            </w:tcBorders>
            <w:shd w:val="clear" w:color="auto" w:fill="auto"/>
            <w:noWrap/>
            <w:vAlign w:val="center"/>
            <w:hideMark/>
          </w:tcPr>
          <w:p w14:paraId="00C21C39"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ind w:right="-252"/>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Sub-totale modalità </w:t>
            </w:r>
            <w:r w:rsidR="00C56F61" w:rsidRPr="005B2739">
              <w:rPr>
                <w:rFonts w:eastAsia="Times New Roman" w:cs="Times New Roman"/>
                <w:b/>
                <w:color w:val="auto"/>
                <w:sz w:val="16"/>
                <w:szCs w:val="16"/>
                <w:bdr w:val="none" w:sz="0" w:space="0" w:color="auto"/>
                <w:lang w:eastAsia="en-GB"/>
              </w:rPr>
              <w:t>ATM</w:t>
            </w:r>
            <w:r w:rsidR="00C56F61">
              <w:rPr>
                <w:rFonts w:eastAsia="Times New Roman" w:cs="Times New Roman"/>
                <w:b/>
                <w:color w:val="auto"/>
                <w:sz w:val="16"/>
                <w:szCs w:val="16"/>
                <w:bdr w:val="none" w:sz="0" w:space="0" w:color="auto"/>
                <w:vertAlign w:val="superscript"/>
                <w:lang w:eastAsia="en-GB"/>
              </w:rPr>
              <w:t>20</w:t>
            </w:r>
            <w:r w:rsidRPr="005B2739">
              <w:rPr>
                <w:rFonts w:eastAsia="Times New Roman" w:cs="Times New Roman"/>
                <w:b/>
                <w:color w:val="auto"/>
                <w:sz w:val="16"/>
                <w:szCs w:val="16"/>
                <w:bdr w:val="none" w:sz="0" w:space="0" w:color="auto"/>
                <w:lang w:eastAsia="en-GB"/>
              </w:rPr>
              <w:t>/NAVIGAZIONE AEREA</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15A4D"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315.928</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1FA2A"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144.538</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6F976" w14:textId="77777777" w:rsidR="00B326C9" w:rsidRPr="006362D4"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2.763.605</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CD7B7"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val="en-GB" w:eastAsia="en-GB"/>
              </w:rPr>
              <w:t>1.272.663</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7BFE"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val="en-GB" w:eastAsia="en-GB"/>
              </w:rPr>
              <w:t>59.</w:t>
            </w:r>
            <w:r w:rsidR="00D00EA2">
              <w:rPr>
                <w:rFonts w:eastAsia="Times New Roman" w:cs="Times New Roman"/>
                <w:b/>
                <w:bCs/>
                <w:color w:val="auto"/>
                <w:sz w:val="16"/>
                <w:szCs w:val="16"/>
                <w:bdr w:val="none" w:sz="0" w:space="0" w:color="auto"/>
                <w:lang w:val="en-GB" w:eastAsia="en-GB"/>
              </w:rPr>
              <w:t>896</w:t>
            </w:r>
          </w:p>
        </w:tc>
        <w:tc>
          <w:tcPr>
            <w:tcW w:w="34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DAA6D"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tabs>
                <w:tab w:val="left" w:pos="599"/>
              </w:tabs>
              <w:ind w:left="-109" w:right="-107"/>
              <w:jc w:val="center"/>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val="en-GB" w:eastAsia="en-GB"/>
              </w:rPr>
              <w:t>41,4</w:t>
            </w:r>
          </w:p>
        </w:tc>
        <w:tc>
          <w:tcPr>
            <w:tcW w:w="27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A4FC17C"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val="en-GB" w:eastAsia="en-GB"/>
              </w:rPr>
              <w:t>-904</w:t>
            </w:r>
          </w:p>
        </w:tc>
        <w:tc>
          <w:tcPr>
            <w:tcW w:w="46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BE7A22"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val="en-GB" w:eastAsia="en-GB"/>
              </w:rPr>
              <w:t>173.990</w:t>
            </w:r>
          </w:p>
        </w:tc>
        <w:tc>
          <w:tcPr>
            <w:tcW w:w="199" w:type="pct"/>
            <w:gridSpan w:val="2"/>
            <w:tcBorders>
              <w:top w:val="single" w:sz="4" w:space="0" w:color="auto"/>
              <w:left w:val="single" w:sz="4" w:space="0" w:color="auto"/>
              <w:bottom w:val="single" w:sz="4" w:space="0" w:color="auto"/>
            </w:tcBorders>
            <w:shd w:val="clear" w:color="auto" w:fill="auto"/>
            <w:vAlign w:val="center"/>
          </w:tcPr>
          <w:p w14:paraId="266013CA" w14:textId="77777777" w:rsidR="00B326C9" w:rsidRPr="00922A9B"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eastAsia="Times New Roman" w:cs="Times New Roman"/>
                <w:b/>
                <w:bCs/>
                <w:color w:val="auto"/>
                <w:sz w:val="16"/>
                <w:szCs w:val="16"/>
                <w:bdr w:val="none" w:sz="0" w:space="0" w:color="auto"/>
                <w:lang w:val="en-GB" w:eastAsia="en-GB"/>
              </w:rPr>
            </w:pPr>
            <w:r>
              <w:rPr>
                <w:rFonts w:eastAsia="Times New Roman" w:cs="Times New Roman"/>
                <w:b/>
                <w:bCs/>
                <w:color w:val="auto"/>
                <w:sz w:val="16"/>
                <w:szCs w:val="16"/>
                <w:bdr w:val="none" w:sz="0" w:space="0" w:color="auto"/>
                <w:lang w:val="en-GB" w:eastAsia="en-GB"/>
              </w:rPr>
              <w:t>55</w:t>
            </w:r>
            <w:r w:rsidRPr="00D00EA2">
              <w:rPr>
                <w:rFonts w:eastAsia="Times New Roman" w:cs="Times New Roman"/>
                <w:b/>
                <w:bCs/>
                <w:color w:val="auto"/>
                <w:sz w:val="16"/>
                <w:szCs w:val="16"/>
                <w:bdr w:val="none" w:sz="0" w:space="0" w:color="auto"/>
                <w:vertAlign w:val="superscript"/>
                <w:lang w:val="en-GB" w:eastAsia="en-GB"/>
              </w:rPr>
              <w:t>14</w:t>
            </w:r>
          </w:p>
        </w:tc>
      </w:tr>
      <w:tr w:rsidR="00B326C9" w:rsidRPr="00A46849" w14:paraId="7ADEB1C1" w14:textId="77777777" w:rsidTr="00C56F61">
        <w:trPr>
          <w:cantSplit/>
          <w:trHeight w:val="250"/>
        </w:trPr>
        <w:tc>
          <w:tcPr>
            <w:tcW w:w="5000" w:type="pct"/>
            <w:gridSpan w:val="37"/>
            <w:tcBorders>
              <w:top w:val="single" w:sz="4" w:space="0" w:color="auto"/>
              <w:left w:val="nil"/>
              <w:bottom w:val="single" w:sz="4" w:space="0" w:color="auto"/>
            </w:tcBorders>
            <w:shd w:val="clear" w:color="auto" w:fill="auto"/>
            <w:noWrap/>
            <w:vAlign w:val="center"/>
          </w:tcPr>
          <w:p w14:paraId="19A21A7B" w14:textId="77777777" w:rsidR="00B326C9" w:rsidRPr="00922A9B" w:rsidRDefault="00B326C9"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val="en-GB" w:eastAsia="en-GB"/>
              </w:rPr>
            </w:pPr>
          </w:p>
        </w:tc>
      </w:tr>
      <w:tr w:rsidR="00B326C9" w:rsidRPr="00A46849" w14:paraId="203588F4" w14:textId="77777777" w:rsidTr="00C56F61">
        <w:trPr>
          <w:cantSplit/>
          <w:trHeight w:val="397"/>
        </w:trPr>
        <w:tc>
          <w:tcPr>
            <w:tcW w:w="5000" w:type="pct"/>
            <w:gridSpan w:val="37"/>
            <w:tcBorders>
              <w:top w:val="single" w:sz="4" w:space="0" w:color="auto"/>
              <w:left w:val="nil"/>
              <w:bottom w:val="single" w:sz="4" w:space="0" w:color="auto"/>
            </w:tcBorders>
            <w:shd w:val="clear" w:color="auto" w:fill="auto"/>
            <w:noWrap/>
            <w:vAlign w:val="center"/>
          </w:tcPr>
          <w:p w14:paraId="4C56277B" w14:textId="77777777" w:rsidR="00B326C9" w:rsidRDefault="00891032"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proofErr w:type="spellStart"/>
            <w:r>
              <w:rPr>
                <w:rFonts w:eastAsia="Times New Roman" w:cs="Times New Roman"/>
                <w:b/>
                <w:bCs/>
                <w:color w:val="auto"/>
                <w:sz w:val="16"/>
                <w:szCs w:val="16"/>
                <w:bdr w:val="none" w:sz="0" w:space="0" w:color="auto"/>
                <w:lang w:val="en-GB" w:eastAsia="en-GB"/>
              </w:rPr>
              <w:t>Modalità</w:t>
            </w:r>
            <w:proofErr w:type="spellEnd"/>
            <w:r>
              <w:rPr>
                <w:rFonts w:eastAsia="Times New Roman" w:cs="Times New Roman"/>
                <w:b/>
                <w:bCs/>
                <w:color w:val="auto"/>
                <w:sz w:val="16"/>
                <w:szCs w:val="16"/>
                <w:bdr w:val="none" w:sz="0" w:space="0" w:color="auto"/>
                <w:lang w:val="en-GB" w:eastAsia="en-GB"/>
              </w:rPr>
              <w:t xml:space="preserve">: </w:t>
            </w:r>
            <w:r w:rsidR="00B326C9" w:rsidRPr="00922A9B">
              <w:rPr>
                <w:rFonts w:eastAsia="Times New Roman" w:cs="Times New Roman"/>
                <w:b/>
                <w:bCs/>
                <w:color w:val="auto"/>
                <w:sz w:val="16"/>
                <w:szCs w:val="16"/>
                <w:bdr w:val="none" w:sz="0" w:space="0" w:color="auto"/>
                <w:lang w:val="en-GB" w:eastAsia="en-GB"/>
              </w:rPr>
              <w:t>MULTI-MODALE</w:t>
            </w:r>
            <w:r w:rsidR="00B326C9" w:rsidRPr="00922A9B">
              <w:rPr>
                <w:rFonts w:eastAsia="Times New Roman" w:cs="Times New Roman"/>
                <w:color w:val="auto"/>
                <w:sz w:val="16"/>
                <w:szCs w:val="16"/>
                <w:bdr w:val="none" w:sz="0" w:space="0" w:color="auto"/>
                <w:lang w:val="en-GB" w:eastAsia="en-GB"/>
              </w:rPr>
              <w:t> </w:t>
            </w:r>
          </w:p>
        </w:tc>
      </w:tr>
      <w:tr w:rsidR="00C56F61" w:rsidRPr="00A46849" w14:paraId="14C00CC7" w14:textId="77777777" w:rsidTr="00C56F61">
        <w:trPr>
          <w:cantSplit/>
          <w:trHeight w:val="1797"/>
        </w:trPr>
        <w:tc>
          <w:tcPr>
            <w:tcW w:w="230" w:type="pct"/>
            <w:tcBorders>
              <w:top w:val="single" w:sz="4" w:space="0" w:color="auto"/>
              <w:left w:val="nil"/>
              <w:bottom w:val="single" w:sz="4" w:space="0" w:color="auto"/>
              <w:right w:val="single" w:sz="4" w:space="0" w:color="auto"/>
            </w:tcBorders>
            <w:shd w:val="clear" w:color="auto" w:fill="auto"/>
            <w:noWrap/>
            <w:textDirection w:val="btLr"/>
            <w:vAlign w:val="center"/>
          </w:tcPr>
          <w:p w14:paraId="40D3C85D"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8C2031">
              <w:rPr>
                <w:rFonts w:eastAsia="Times New Roman" w:cs="Times New Roman"/>
                <w:b/>
                <w:bCs/>
                <w:color w:val="auto"/>
                <w:sz w:val="16"/>
                <w:szCs w:val="16"/>
                <w:bdr w:val="none" w:sz="0" w:space="0" w:color="auto"/>
                <w:lang w:eastAsia="en-GB"/>
              </w:rPr>
              <w:t>a. ID</w:t>
            </w:r>
          </w:p>
        </w:tc>
        <w:tc>
          <w:tcPr>
            <w:tcW w:w="371"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17BA7BD1"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b. Codice </w:t>
            </w:r>
            <w:r w:rsidRPr="002A6033">
              <w:rPr>
                <w:rFonts w:eastAsia="Times New Roman" w:cs="Times New Roman"/>
                <w:b/>
                <w:bCs/>
                <w:color w:val="auto"/>
                <w:sz w:val="16"/>
                <w:szCs w:val="16"/>
                <w:bdr w:val="none" w:sz="0" w:space="0" w:color="auto"/>
                <w:lang w:eastAsia="en-GB"/>
              </w:rPr>
              <w:t>Azione</w:t>
            </w:r>
          </w:p>
        </w:tc>
        <w:tc>
          <w:tcPr>
            <w:tcW w:w="587"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682CC735"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c. Titolo A</w:t>
            </w:r>
            <w:r w:rsidRPr="002A6033">
              <w:rPr>
                <w:rFonts w:eastAsia="Times New Roman" w:cs="Times New Roman"/>
                <w:b/>
                <w:bCs/>
                <w:color w:val="auto"/>
                <w:sz w:val="16"/>
                <w:szCs w:val="16"/>
                <w:bdr w:val="none" w:sz="0" w:space="0" w:color="auto"/>
                <w:lang w:eastAsia="en-GB"/>
              </w:rPr>
              <w:t>zione</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tcPr>
          <w:p w14:paraId="18E324A2" w14:textId="77777777" w:rsidR="00C56F61" w:rsidRPr="00B83310"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 xml:space="preserve">d. </w:t>
            </w:r>
            <w:r w:rsidRPr="002A6033">
              <w:rPr>
                <w:rFonts w:eastAsia="Times New Roman" w:cs="Times New Roman"/>
                <w:b/>
                <w:bCs/>
                <w:color w:val="auto"/>
                <w:sz w:val="16"/>
                <w:szCs w:val="16"/>
                <w:bdr w:val="none" w:sz="0" w:space="0" w:color="auto"/>
                <w:lang w:eastAsia="en-GB"/>
              </w:rPr>
              <w:t>Data fine Azione</w:t>
            </w:r>
          </w:p>
        </w:tc>
        <w:tc>
          <w:tcPr>
            <w:tcW w:w="392"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5D010F4D" w14:textId="77777777" w:rsidR="00C56F61" w:rsidRPr="006362D4" w:rsidRDefault="00C56F61" w:rsidP="00E809C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e. Costo Azione IT</w:t>
            </w:r>
          </w:p>
          <w:p w14:paraId="0CB4DC82"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3</w:t>
            </w:r>
          </w:p>
        </w:tc>
        <w:tc>
          <w:tcPr>
            <w:tcW w:w="522"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117C3169"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f. Contri</w:t>
            </w:r>
            <w:r>
              <w:rPr>
                <w:rFonts w:eastAsia="Times New Roman" w:cs="Times New Roman"/>
                <w:b/>
                <w:bCs/>
                <w:color w:val="auto"/>
                <w:sz w:val="16"/>
                <w:szCs w:val="16"/>
                <w:bdr w:val="none" w:sz="0" w:space="0" w:color="auto"/>
                <w:lang w:eastAsia="en-GB"/>
              </w:rPr>
              <w:t>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4</w:t>
            </w:r>
          </w:p>
        </w:tc>
        <w:tc>
          <w:tcPr>
            <w:tcW w:w="505" w:type="pct"/>
            <w:gridSpan w:val="5"/>
            <w:tcBorders>
              <w:top w:val="single" w:sz="4" w:space="0" w:color="auto"/>
              <w:left w:val="nil"/>
              <w:bottom w:val="single" w:sz="4" w:space="0" w:color="auto"/>
              <w:right w:val="single" w:sz="4" w:space="0" w:color="auto"/>
            </w:tcBorders>
            <w:shd w:val="clear" w:color="auto" w:fill="auto"/>
            <w:textDirection w:val="btLr"/>
            <w:vAlign w:val="center"/>
          </w:tcPr>
          <w:p w14:paraId="648035E0"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g. Costo totale Azione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5</w:t>
            </w:r>
          </w:p>
        </w:tc>
        <w:tc>
          <w:tcPr>
            <w:tcW w:w="479"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259FBD13"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h. Contributo</w:t>
            </w:r>
            <w:r>
              <w:rPr>
                <w:rFonts w:eastAsia="Times New Roman" w:cs="Times New Roman"/>
                <w:b/>
                <w:bCs/>
                <w:color w:val="auto"/>
                <w:sz w:val="16"/>
                <w:szCs w:val="16"/>
                <w:bdr w:val="none" w:sz="0" w:space="0" w:color="auto"/>
                <w:lang w:eastAsia="en-GB"/>
              </w:rPr>
              <w:t xml:space="preserve"> comunitario totale assegnato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6</w:t>
            </w:r>
          </w:p>
        </w:tc>
        <w:tc>
          <w:tcPr>
            <w:tcW w:w="411"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7C254E8D"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i. Totale contributo comunitar</w:t>
            </w:r>
            <w:r>
              <w:rPr>
                <w:rFonts w:eastAsia="Times New Roman" w:cs="Times New Roman"/>
                <w:b/>
                <w:bCs/>
                <w:color w:val="auto"/>
                <w:sz w:val="16"/>
                <w:szCs w:val="16"/>
                <w:bdr w:val="none" w:sz="0" w:space="0" w:color="auto"/>
                <w:lang w:eastAsia="en-GB"/>
              </w:rPr>
              <w:t>io incassato IT al 30.04.2020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7</w:t>
            </w:r>
          </w:p>
        </w:tc>
        <w:tc>
          <w:tcPr>
            <w:tcW w:w="416" w:type="pct"/>
            <w:gridSpan w:val="4"/>
            <w:tcBorders>
              <w:top w:val="single" w:sz="4" w:space="0" w:color="auto"/>
              <w:left w:val="nil"/>
              <w:bottom w:val="single" w:sz="4" w:space="0" w:color="auto"/>
              <w:right w:val="single" w:sz="4" w:space="0" w:color="auto"/>
            </w:tcBorders>
            <w:shd w:val="clear" w:color="auto" w:fill="auto"/>
            <w:textDirection w:val="btLr"/>
            <w:vAlign w:val="center"/>
          </w:tcPr>
          <w:p w14:paraId="3E437075"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 xml:space="preserve">j. Contributo incassato rispetto al contributo assegnato </w:t>
            </w:r>
            <w:proofErr w:type="gramStart"/>
            <w:r w:rsidRPr="006362D4">
              <w:rPr>
                <w:rFonts w:eastAsia="Times New Roman" w:cs="Times New Roman"/>
                <w:b/>
                <w:bCs/>
                <w:color w:val="auto"/>
                <w:sz w:val="16"/>
                <w:szCs w:val="16"/>
                <w:bdr w:val="none" w:sz="0" w:space="0" w:color="auto"/>
                <w:lang w:eastAsia="en-GB"/>
              </w:rPr>
              <w:t>IT(</w:t>
            </w:r>
            <w:proofErr w:type="gramEnd"/>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8</w:t>
            </w:r>
          </w:p>
        </w:tc>
        <w:tc>
          <w:tcPr>
            <w:tcW w:w="261" w:type="pct"/>
            <w:gridSpan w:val="3"/>
            <w:tcBorders>
              <w:top w:val="single" w:sz="4" w:space="0" w:color="auto"/>
              <w:left w:val="nil"/>
              <w:bottom w:val="single" w:sz="4" w:space="0" w:color="auto"/>
              <w:right w:val="single" w:sz="4" w:space="0" w:color="auto"/>
            </w:tcBorders>
            <w:shd w:val="clear" w:color="auto" w:fill="auto"/>
            <w:textDirection w:val="btLr"/>
            <w:vAlign w:val="center"/>
          </w:tcPr>
          <w:p w14:paraId="3C3E0E72"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k. Varia</w:t>
            </w:r>
            <w:r>
              <w:rPr>
                <w:rFonts w:eastAsia="Times New Roman" w:cs="Times New Roman"/>
                <w:b/>
                <w:bCs/>
                <w:color w:val="auto"/>
                <w:sz w:val="16"/>
                <w:szCs w:val="16"/>
                <w:bdr w:val="none" w:sz="0" w:space="0" w:color="auto"/>
                <w:lang w:eastAsia="en-GB"/>
              </w:rPr>
              <w:t>zione contributo comunitario assegnato IT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9</w:t>
            </w:r>
          </w:p>
        </w:tc>
        <w:tc>
          <w:tcPr>
            <w:tcW w:w="407" w:type="pct"/>
            <w:gridSpan w:val="2"/>
            <w:tcBorders>
              <w:top w:val="single" w:sz="4" w:space="0" w:color="auto"/>
              <w:left w:val="nil"/>
              <w:bottom w:val="single" w:sz="4" w:space="0" w:color="auto"/>
              <w:right w:val="single" w:sz="4" w:space="0" w:color="auto"/>
            </w:tcBorders>
            <w:shd w:val="clear" w:color="auto" w:fill="auto"/>
            <w:textDirection w:val="btLr"/>
            <w:vAlign w:val="center"/>
          </w:tcPr>
          <w:p w14:paraId="33BD125E" w14:textId="77777777" w:rsidR="00C56F61" w:rsidRPr="00922A9B"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sidRPr="006362D4">
              <w:rPr>
                <w:rFonts w:eastAsia="Times New Roman" w:cs="Times New Roman"/>
                <w:b/>
                <w:bCs/>
                <w:color w:val="auto"/>
                <w:sz w:val="16"/>
                <w:szCs w:val="16"/>
                <w:bdr w:val="none" w:sz="0" w:space="0" w:color="auto"/>
                <w:lang w:eastAsia="en-GB"/>
              </w:rPr>
              <w:t>l. Importo speso IT al 31/12/</w:t>
            </w:r>
            <w:proofErr w:type="gramStart"/>
            <w:r w:rsidRPr="006362D4">
              <w:rPr>
                <w:rFonts w:eastAsia="Times New Roman" w:cs="Times New Roman"/>
                <w:b/>
                <w:bCs/>
                <w:color w:val="auto"/>
                <w:sz w:val="16"/>
                <w:szCs w:val="16"/>
                <w:bdr w:val="none" w:sz="0" w:space="0" w:color="auto"/>
                <w:lang w:eastAsia="en-GB"/>
              </w:rPr>
              <w:t>1</w:t>
            </w:r>
            <w:r>
              <w:rPr>
                <w:rFonts w:eastAsia="Times New Roman" w:cs="Times New Roman"/>
                <w:b/>
                <w:bCs/>
                <w:color w:val="auto"/>
                <w:sz w:val="16"/>
                <w:szCs w:val="16"/>
                <w:bdr w:val="none" w:sz="0" w:space="0" w:color="auto"/>
                <w:lang w:eastAsia="en-GB"/>
              </w:rPr>
              <w:t>9  incluse</w:t>
            </w:r>
            <w:proofErr w:type="gramEnd"/>
            <w:r>
              <w:rPr>
                <w:rFonts w:eastAsia="Times New Roman" w:cs="Times New Roman"/>
                <w:b/>
                <w:bCs/>
                <w:color w:val="auto"/>
                <w:sz w:val="16"/>
                <w:szCs w:val="16"/>
                <w:bdr w:val="none" w:sz="0" w:space="0" w:color="auto"/>
                <w:lang w:eastAsia="en-GB"/>
              </w:rPr>
              <w:t xml:space="preserve"> le quote nazionali (k</w:t>
            </w:r>
            <w:r w:rsidRPr="006362D4">
              <w:rPr>
                <w:rFonts w:eastAsia="Times New Roman" w:cs="Times New Roman"/>
                <w:b/>
                <w:bCs/>
                <w:color w:val="auto"/>
                <w:sz w:val="16"/>
                <w:szCs w:val="16"/>
                <w:bdr w:val="none" w:sz="0" w:space="0" w:color="auto"/>
                <w:lang w:eastAsia="en-GB"/>
              </w:rPr>
              <w:t>€)</w:t>
            </w:r>
            <w:r w:rsidRPr="006362D4">
              <w:rPr>
                <w:rFonts w:eastAsia="Times New Roman" w:cs="Times New Roman"/>
                <w:b/>
                <w:bCs/>
                <w:color w:val="auto"/>
                <w:sz w:val="16"/>
                <w:szCs w:val="16"/>
                <w:bdr w:val="none" w:sz="0" w:space="0" w:color="auto"/>
                <w:vertAlign w:val="superscript"/>
                <w:lang w:eastAsia="en-GB"/>
              </w:rPr>
              <w:t>10</w:t>
            </w:r>
          </w:p>
        </w:tc>
        <w:tc>
          <w:tcPr>
            <w:tcW w:w="199" w:type="pct"/>
            <w:gridSpan w:val="2"/>
            <w:tcBorders>
              <w:top w:val="single" w:sz="4" w:space="0" w:color="auto"/>
              <w:left w:val="nil"/>
              <w:bottom w:val="single" w:sz="4" w:space="0" w:color="auto"/>
            </w:tcBorders>
            <w:shd w:val="clear" w:color="auto" w:fill="auto"/>
            <w:textDirection w:val="btLr"/>
            <w:vAlign w:val="center"/>
          </w:tcPr>
          <w:p w14:paraId="777669A6" w14:textId="77777777" w:rsidR="00C56F61" w:rsidRPr="00A46849" w:rsidRDefault="00C56F61" w:rsidP="00B326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sz w:val="16"/>
                <w:szCs w:val="16"/>
                <w:bdr w:val="none" w:sz="0" w:space="0" w:color="auto"/>
                <w:lang w:eastAsia="en-GB"/>
              </w:rPr>
            </w:pPr>
            <w:r>
              <w:rPr>
                <w:rFonts w:eastAsia="Times New Roman" w:cs="Times New Roman"/>
                <w:b/>
                <w:bCs/>
                <w:color w:val="auto"/>
                <w:sz w:val="16"/>
                <w:szCs w:val="16"/>
                <w:bdr w:val="none" w:sz="0" w:space="0" w:color="auto"/>
                <w:lang w:eastAsia="en-GB"/>
              </w:rPr>
              <w:t>m. Avanzamento %</w:t>
            </w:r>
            <w:r w:rsidRPr="006362D4">
              <w:rPr>
                <w:rFonts w:eastAsia="Times New Roman" w:cs="Times New Roman"/>
                <w:b/>
                <w:bCs/>
                <w:color w:val="auto"/>
                <w:sz w:val="16"/>
                <w:szCs w:val="16"/>
                <w:bdr w:val="none" w:sz="0" w:space="0" w:color="auto"/>
                <w:vertAlign w:val="superscript"/>
                <w:lang w:eastAsia="en-GB"/>
              </w:rPr>
              <w:t>11</w:t>
            </w:r>
          </w:p>
        </w:tc>
      </w:tr>
      <w:tr w:rsidR="00D00EA2" w:rsidRPr="00D00EA2" w14:paraId="3700BD2C" w14:textId="77777777" w:rsidTr="00C56F61">
        <w:trPr>
          <w:trHeight w:val="966"/>
        </w:trPr>
        <w:tc>
          <w:tcPr>
            <w:tcW w:w="230" w:type="pct"/>
            <w:tcBorders>
              <w:top w:val="nil"/>
              <w:left w:val="nil"/>
              <w:bottom w:val="single" w:sz="4" w:space="0" w:color="auto"/>
              <w:right w:val="single" w:sz="4" w:space="0" w:color="auto"/>
            </w:tcBorders>
            <w:shd w:val="clear" w:color="auto" w:fill="auto"/>
            <w:noWrap/>
            <w:vAlign w:val="center"/>
            <w:hideMark/>
          </w:tcPr>
          <w:p w14:paraId="26B6F15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D00EA2">
              <w:rPr>
                <w:rFonts w:eastAsia="Times New Roman" w:cs="Times New Roman"/>
                <w:color w:val="auto"/>
                <w:sz w:val="16"/>
                <w:szCs w:val="16"/>
                <w:bdr w:val="none" w:sz="0" w:space="0" w:color="auto"/>
                <w:lang w:val="en-GB" w:eastAsia="en-GB"/>
              </w:rPr>
              <w:t>1</w:t>
            </w:r>
          </w:p>
        </w:tc>
        <w:tc>
          <w:tcPr>
            <w:tcW w:w="362" w:type="pct"/>
            <w:tcBorders>
              <w:top w:val="nil"/>
              <w:left w:val="nil"/>
              <w:bottom w:val="single" w:sz="4" w:space="0" w:color="auto"/>
              <w:right w:val="single" w:sz="4" w:space="0" w:color="auto"/>
            </w:tcBorders>
            <w:shd w:val="clear" w:color="auto" w:fill="auto"/>
            <w:vAlign w:val="center"/>
            <w:hideMark/>
          </w:tcPr>
          <w:p w14:paraId="5355F956"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10" w:right="-106"/>
              <w:jc w:val="center"/>
              <w:rPr>
                <w:rFonts w:eastAsia="Times New Roman" w:cs="Times New Roman"/>
                <w:color w:val="auto"/>
                <w:sz w:val="16"/>
                <w:szCs w:val="16"/>
                <w:bdr w:val="none" w:sz="0" w:space="0" w:color="auto"/>
                <w:lang w:val="en-GB" w:eastAsia="en-GB"/>
              </w:rPr>
            </w:pPr>
            <w:r w:rsidRPr="00D00EA2">
              <w:rPr>
                <w:rFonts w:eastAsia="Times New Roman" w:cs="Times New Roman"/>
                <w:color w:val="auto"/>
                <w:sz w:val="16"/>
                <w:szCs w:val="16"/>
                <w:bdr w:val="none" w:sz="0" w:space="0" w:color="auto"/>
                <w:lang w:val="en-GB" w:eastAsia="en-GB"/>
              </w:rPr>
              <w:t>2014-EU-TM-0686</w:t>
            </w:r>
          </w:p>
          <w:p w14:paraId="244B4AC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10" w:right="-106"/>
              <w:jc w:val="center"/>
              <w:rPr>
                <w:rFonts w:eastAsia="Times New Roman" w:cs="Times New Roman"/>
                <w:color w:val="auto"/>
                <w:sz w:val="16"/>
                <w:szCs w:val="16"/>
                <w:bdr w:val="none" w:sz="0" w:space="0" w:color="auto"/>
                <w:lang w:val="en-GB" w:eastAsia="en-GB"/>
              </w:rPr>
            </w:pPr>
            <w:r w:rsidRPr="00D00EA2">
              <w:rPr>
                <w:rFonts w:eastAsia="Times New Roman" w:cs="Times New Roman"/>
                <w:color w:val="auto"/>
                <w:sz w:val="16"/>
                <w:szCs w:val="16"/>
                <w:bdr w:val="none" w:sz="0" w:space="0" w:color="auto"/>
                <w:lang w:val="en-GB" w:eastAsia="en-GB"/>
              </w:rPr>
              <w:t>-S</w:t>
            </w:r>
            <w:r w:rsidR="00472A75">
              <w:rPr>
                <w:rFonts w:eastAsia="Times New Roman" w:cs="Times New Roman"/>
                <w:color w:val="auto"/>
                <w:sz w:val="16"/>
                <w:szCs w:val="16"/>
                <w:bdr w:val="none" w:sz="0" w:space="0" w:color="auto"/>
                <w:vertAlign w:val="superscript"/>
                <w:lang w:val="en-GB" w:eastAsia="en-GB"/>
              </w:rPr>
              <w:t>13</w:t>
            </w:r>
          </w:p>
        </w:tc>
        <w:tc>
          <w:tcPr>
            <w:tcW w:w="596" w:type="pct"/>
            <w:gridSpan w:val="3"/>
            <w:tcBorders>
              <w:top w:val="nil"/>
              <w:left w:val="nil"/>
              <w:bottom w:val="single" w:sz="4" w:space="0" w:color="auto"/>
              <w:right w:val="single" w:sz="4" w:space="0" w:color="auto"/>
            </w:tcBorders>
            <w:shd w:val="clear" w:color="auto" w:fill="auto"/>
            <w:vAlign w:val="center"/>
            <w:hideMark/>
          </w:tcPr>
          <w:p w14:paraId="7781B69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D00EA2">
              <w:rPr>
                <w:rFonts w:eastAsia="Times New Roman" w:cs="Times New Roman"/>
                <w:color w:val="auto"/>
                <w:sz w:val="16"/>
                <w:szCs w:val="16"/>
                <w:bdr w:val="none" w:sz="0" w:space="0" w:color="auto"/>
                <w:lang w:eastAsia="en-GB"/>
              </w:rPr>
              <w:t xml:space="preserve">E-IMPACT - Implementazione di un Corridoio logistico digitalizzato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4647E04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D00EA2">
              <w:rPr>
                <w:rFonts w:eastAsia="Times New Roman" w:cs="Times New Roman"/>
                <w:color w:val="auto"/>
                <w:sz w:val="16"/>
                <w:szCs w:val="16"/>
                <w:bdr w:val="none" w:sz="0" w:space="0" w:color="auto"/>
                <w:lang w:val="en-GB" w:eastAsia="en-GB"/>
              </w:rPr>
              <w:t>30/06/18</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4E7400F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1.350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5357247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675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511F6776"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3.900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3CD0FF7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1.950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38E5841F" w14:textId="77777777" w:rsidR="00D00EA2" w:rsidRPr="00732F02" w:rsidRDefault="00732F0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32F02">
              <w:rPr>
                <w:rFonts w:cs="Times New Roman"/>
                <w:color w:val="auto"/>
                <w:sz w:val="16"/>
                <w:szCs w:val="16"/>
              </w:rPr>
              <w:t>59</w:t>
            </w:r>
          </w:p>
        </w:tc>
        <w:tc>
          <w:tcPr>
            <w:tcW w:w="416" w:type="pct"/>
            <w:gridSpan w:val="4"/>
            <w:tcBorders>
              <w:top w:val="nil"/>
              <w:left w:val="nil"/>
              <w:bottom w:val="single" w:sz="4" w:space="0" w:color="auto"/>
              <w:right w:val="single" w:sz="4" w:space="0" w:color="auto"/>
            </w:tcBorders>
            <w:shd w:val="clear" w:color="auto" w:fill="auto"/>
            <w:noWrap/>
            <w:vAlign w:val="center"/>
            <w:hideMark/>
          </w:tcPr>
          <w:p w14:paraId="580A77D2" w14:textId="77777777" w:rsidR="00D00EA2" w:rsidRPr="00732F0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732F02">
              <w:rPr>
                <w:rFonts w:cs="Times New Roman"/>
                <w:color w:val="auto"/>
                <w:sz w:val="16"/>
                <w:szCs w:val="16"/>
              </w:rPr>
              <w:t>48,9</w:t>
            </w:r>
          </w:p>
        </w:tc>
        <w:tc>
          <w:tcPr>
            <w:tcW w:w="261" w:type="pct"/>
            <w:gridSpan w:val="3"/>
            <w:tcBorders>
              <w:top w:val="nil"/>
              <w:left w:val="nil"/>
              <w:bottom w:val="single" w:sz="4" w:space="0" w:color="auto"/>
              <w:right w:val="single" w:sz="4" w:space="0" w:color="auto"/>
            </w:tcBorders>
            <w:shd w:val="clear" w:color="auto" w:fill="auto"/>
            <w:vAlign w:val="center"/>
          </w:tcPr>
          <w:p w14:paraId="24A395F9" w14:textId="77777777" w:rsidR="00D00EA2" w:rsidRPr="00732F0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32F02">
              <w:rPr>
                <w:rFonts w:cs="Times New Roman"/>
                <w:color w:val="auto"/>
                <w:sz w:val="16"/>
                <w:szCs w:val="16"/>
              </w:rPr>
              <w:t xml:space="preserve"> -   </w:t>
            </w:r>
          </w:p>
        </w:tc>
        <w:tc>
          <w:tcPr>
            <w:tcW w:w="407" w:type="pct"/>
            <w:gridSpan w:val="2"/>
            <w:tcBorders>
              <w:top w:val="nil"/>
              <w:left w:val="nil"/>
              <w:bottom w:val="single" w:sz="4" w:space="0" w:color="auto"/>
              <w:right w:val="single" w:sz="4" w:space="0" w:color="auto"/>
            </w:tcBorders>
            <w:shd w:val="clear" w:color="auto" w:fill="auto"/>
            <w:vAlign w:val="center"/>
            <w:hideMark/>
          </w:tcPr>
          <w:p w14:paraId="32BD2D67" w14:textId="77777777" w:rsidR="00D00EA2" w:rsidRPr="00732F02" w:rsidRDefault="00732F0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732F02">
              <w:rPr>
                <w:rFonts w:cs="Times New Roman"/>
                <w:color w:val="auto"/>
                <w:sz w:val="16"/>
                <w:szCs w:val="16"/>
              </w:rPr>
              <w:t>190</w:t>
            </w:r>
            <w:r w:rsidR="00D00EA2" w:rsidRPr="00732F02">
              <w:rPr>
                <w:rFonts w:cs="Times New Roman"/>
                <w:color w:val="auto"/>
                <w:sz w:val="16"/>
                <w:szCs w:val="16"/>
              </w:rPr>
              <w:t xml:space="preserve"> </w:t>
            </w:r>
          </w:p>
        </w:tc>
        <w:tc>
          <w:tcPr>
            <w:tcW w:w="199" w:type="pct"/>
            <w:gridSpan w:val="2"/>
            <w:tcBorders>
              <w:top w:val="nil"/>
              <w:left w:val="nil"/>
              <w:bottom w:val="single" w:sz="4" w:space="0" w:color="auto"/>
            </w:tcBorders>
            <w:shd w:val="clear" w:color="auto" w:fill="auto"/>
            <w:vAlign w:val="center"/>
          </w:tcPr>
          <w:p w14:paraId="1E8387E2" w14:textId="77777777" w:rsidR="00D00EA2" w:rsidRPr="00732F02"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142"/>
              <w:jc w:val="center"/>
              <w:rPr>
                <w:rFonts w:eastAsia="Times New Roman" w:cs="Times New Roman"/>
                <w:color w:val="auto"/>
                <w:sz w:val="16"/>
                <w:szCs w:val="16"/>
                <w:bdr w:val="none" w:sz="0" w:space="0" w:color="auto"/>
                <w:lang w:val="en-GB" w:eastAsia="en-GB"/>
              </w:rPr>
            </w:pPr>
            <w:r w:rsidRPr="00732F02">
              <w:rPr>
                <w:rFonts w:cs="Times New Roman"/>
                <w:color w:val="auto"/>
                <w:sz w:val="16"/>
                <w:szCs w:val="16"/>
              </w:rPr>
              <w:t>100</w:t>
            </w:r>
          </w:p>
        </w:tc>
      </w:tr>
      <w:tr w:rsidR="00D00EA2" w:rsidRPr="00D00EA2" w14:paraId="2A48F27A" w14:textId="77777777" w:rsidTr="00C56F61">
        <w:trPr>
          <w:trHeight w:val="735"/>
        </w:trPr>
        <w:tc>
          <w:tcPr>
            <w:tcW w:w="230" w:type="pct"/>
            <w:tcBorders>
              <w:top w:val="nil"/>
              <w:left w:val="nil"/>
              <w:bottom w:val="single" w:sz="4" w:space="0" w:color="auto"/>
              <w:right w:val="single" w:sz="4" w:space="0" w:color="auto"/>
            </w:tcBorders>
            <w:shd w:val="clear" w:color="auto" w:fill="auto"/>
            <w:noWrap/>
            <w:vAlign w:val="center"/>
            <w:hideMark/>
          </w:tcPr>
          <w:p w14:paraId="3266132F"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w:t>
            </w:r>
          </w:p>
        </w:tc>
        <w:tc>
          <w:tcPr>
            <w:tcW w:w="362" w:type="pct"/>
            <w:tcBorders>
              <w:top w:val="nil"/>
              <w:left w:val="nil"/>
              <w:bottom w:val="single" w:sz="4" w:space="0" w:color="auto"/>
              <w:right w:val="single" w:sz="4" w:space="0" w:color="auto"/>
            </w:tcBorders>
            <w:shd w:val="clear" w:color="auto" w:fill="auto"/>
            <w:vAlign w:val="center"/>
            <w:hideMark/>
          </w:tcPr>
          <w:p w14:paraId="10FAAF85"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10"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2014-IT-TM-0591</w:t>
            </w:r>
          </w:p>
          <w:p w14:paraId="7C2C32B1"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10"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96" w:type="pct"/>
            <w:gridSpan w:val="3"/>
            <w:tcBorders>
              <w:top w:val="nil"/>
              <w:left w:val="nil"/>
              <w:bottom w:val="single" w:sz="4" w:space="0" w:color="auto"/>
              <w:right w:val="single" w:sz="4" w:space="0" w:color="auto"/>
            </w:tcBorders>
            <w:shd w:val="clear" w:color="auto" w:fill="auto"/>
            <w:vAlign w:val="center"/>
            <w:hideMark/>
          </w:tcPr>
          <w:p w14:paraId="46A1A50A" w14:textId="77777777" w:rsidR="00D00EA2" w:rsidRPr="00B70F83"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ight="-21"/>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 xml:space="preserve">Miglioramento dell'efficienza del nuovo terminal container dell'Interporto </w:t>
            </w:r>
            <w:r>
              <w:rPr>
                <w:rFonts w:eastAsia="Times New Roman" w:cs="Times New Roman"/>
                <w:color w:val="auto"/>
                <w:sz w:val="16"/>
                <w:szCs w:val="16"/>
                <w:bdr w:val="none" w:sz="0" w:space="0" w:color="auto"/>
                <w:lang w:eastAsia="en-GB"/>
              </w:rPr>
              <w:t>di Padova</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42454A79"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31/12/19</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7746D5A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16.242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737E5AE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3.248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5171380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16.242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7F7FAA6D"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3.248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5FBA0CC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2.599 </w:t>
            </w:r>
          </w:p>
        </w:tc>
        <w:tc>
          <w:tcPr>
            <w:tcW w:w="416" w:type="pct"/>
            <w:gridSpan w:val="4"/>
            <w:tcBorders>
              <w:top w:val="nil"/>
              <w:left w:val="nil"/>
              <w:bottom w:val="single" w:sz="4" w:space="0" w:color="auto"/>
              <w:right w:val="single" w:sz="4" w:space="0" w:color="auto"/>
            </w:tcBorders>
            <w:shd w:val="clear" w:color="auto" w:fill="auto"/>
            <w:noWrap/>
            <w:vAlign w:val="center"/>
            <w:hideMark/>
          </w:tcPr>
          <w:p w14:paraId="7F895827"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D00EA2">
              <w:rPr>
                <w:rFonts w:cs="Times New Roman"/>
                <w:sz w:val="16"/>
                <w:szCs w:val="16"/>
              </w:rPr>
              <w:t>80,0</w:t>
            </w:r>
          </w:p>
        </w:tc>
        <w:tc>
          <w:tcPr>
            <w:tcW w:w="261" w:type="pct"/>
            <w:gridSpan w:val="3"/>
            <w:tcBorders>
              <w:top w:val="nil"/>
              <w:left w:val="nil"/>
              <w:bottom w:val="single" w:sz="4" w:space="0" w:color="auto"/>
              <w:right w:val="single" w:sz="4" w:space="0" w:color="auto"/>
            </w:tcBorders>
            <w:shd w:val="clear" w:color="auto" w:fill="auto"/>
            <w:vAlign w:val="center"/>
            <w:hideMark/>
          </w:tcPr>
          <w:p w14:paraId="5307C7E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   </w:t>
            </w:r>
          </w:p>
        </w:tc>
        <w:tc>
          <w:tcPr>
            <w:tcW w:w="407" w:type="pct"/>
            <w:gridSpan w:val="2"/>
            <w:tcBorders>
              <w:top w:val="nil"/>
              <w:left w:val="nil"/>
              <w:bottom w:val="single" w:sz="4" w:space="0" w:color="auto"/>
              <w:right w:val="single" w:sz="4" w:space="0" w:color="auto"/>
            </w:tcBorders>
            <w:shd w:val="clear" w:color="auto" w:fill="auto"/>
            <w:vAlign w:val="center"/>
          </w:tcPr>
          <w:p w14:paraId="6C8CCCF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20.643 </w:t>
            </w:r>
          </w:p>
        </w:tc>
        <w:tc>
          <w:tcPr>
            <w:tcW w:w="199" w:type="pct"/>
            <w:gridSpan w:val="2"/>
            <w:tcBorders>
              <w:top w:val="nil"/>
              <w:left w:val="nil"/>
              <w:bottom w:val="single" w:sz="4" w:space="0" w:color="auto"/>
            </w:tcBorders>
            <w:shd w:val="clear" w:color="auto" w:fill="auto"/>
            <w:vAlign w:val="center"/>
          </w:tcPr>
          <w:p w14:paraId="709F4C8F" w14:textId="77777777" w:rsidR="00D00EA2" w:rsidRPr="00D00EA2"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142"/>
              <w:jc w:val="center"/>
              <w:rPr>
                <w:rFonts w:eastAsia="Times New Roman" w:cs="Times New Roman"/>
                <w:color w:val="auto"/>
                <w:sz w:val="16"/>
                <w:szCs w:val="16"/>
                <w:bdr w:val="none" w:sz="0" w:space="0" w:color="auto"/>
                <w:lang w:val="en-GB" w:eastAsia="en-GB"/>
              </w:rPr>
            </w:pPr>
            <w:r>
              <w:rPr>
                <w:rFonts w:cs="Times New Roman"/>
                <w:sz w:val="16"/>
                <w:szCs w:val="16"/>
              </w:rPr>
              <w:t>100</w:t>
            </w:r>
          </w:p>
        </w:tc>
      </w:tr>
      <w:tr w:rsidR="00D00EA2" w:rsidRPr="00D00EA2" w14:paraId="5544F54A" w14:textId="77777777" w:rsidTr="00C56F61">
        <w:trPr>
          <w:trHeight w:val="941"/>
        </w:trPr>
        <w:tc>
          <w:tcPr>
            <w:tcW w:w="230" w:type="pct"/>
            <w:tcBorders>
              <w:top w:val="nil"/>
              <w:left w:val="nil"/>
              <w:bottom w:val="single" w:sz="4" w:space="0" w:color="auto"/>
              <w:right w:val="single" w:sz="4" w:space="0" w:color="auto"/>
            </w:tcBorders>
            <w:shd w:val="clear" w:color="auto" w:fill="auto"/>
            <w:noWrap/>
            <w:vAlign w:val="center"/>
            <w:hideMark/>
          </w:tcPr>
          <w:p w14:paraId="4B8AF4C8"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lastRenderedPageBreak/>
              <w:t>3</w:t>
            </w:r>
          </w:p>
        </w:tc>
        <w:tc>
          <w:tcPr>
            <w:tcW w:w="362" w:type="pct"/>
            <w:tcBorders>
              <w:top w:val="nil"/>
              <w:left w:val="nil"/>
              <w:bottom w:val="single" w:sz="4" w:space="0" w:color="auto"/>
              <w:right w:val="single" w:sz="4" w:space="0" w:color="auto"/>
            </w:tcBorders>
            <w:shd w:val="clear" w:color="auto" w:fill="auto"/>
            <w:vAlign w:val="center"/>
            <w:hideMark/>
          </w:tcPr>
          <w:p w14:paraId="2CDD7AEB"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2015-EU-TM-0028</w:t>
            </w:r>
          </w:p>
          <w:p w14:paraId="47C1502E"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96" w:type="pct"/>
            <w:gridSpan w:val="3"/>
            <w:tcBorders>
              <w:top w:val="nil"/>
              <w:left w:val="nil"/>
              <w:bottom w:val="single" w:sz="4" w:space="0" w:color="auto"/>
              <w:right w:val="single" w:sz="4" w:space="0" w:color="auto"/>
            </w:tcBorders>
            <w:shd w:val="clear" w:color="auto" w:fill="auto"/>
            <w:vAlign w:val="center"/>
            <w:hideMark/>
          </w:tcPr>
          <w:p w14:paraId="5E2DC123" w14:textId="77777777" w:rsidR="00D00EA2" w:rsidRPr="00B70F83"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RAISE-IT - </w:t>
            </w:r>
            <w:r w:rsidRPr="00922A9B">
              <w:rPr>
                <w:rFonts w:eastAsia="Times New Roman" w:cs="Times New Roman"/>
                <w:color w:val="auto"/>
                <w:sz w:val="16"/>
                <w:szCs w:val="16"/>
                <w:bdr w:val="none" w:sz="0" w:space="0" w:color="auto"/>
                <w:lang w:eastAsia="en-GB"/>
              </w:rPr>
              <w:t xml:space="preserve">Catena </w:t>
            </w:r>
            <w:proofErr w:type="gramStart"/>
            <w:r w:rsidRPr="00922A9B">
              <w:rPr>
                <w:rFonts w:eastAsia="Times New Roman" w:cs="Times New Roman"/>
                <w:color w:val="auto"/>
                <w:sz w:val="16"/>
                <w:szCs w:val="16"/>
                <w:bdr w:val="none" w:sz="0" w:space="0" w:color="auto"/>
                <w:lang w:eastAsia="en-GB"/>
              </w:rPr>
              <w:t xml:space="preserve">di </w:t>
            </w:r>
            <w:r w:rsidR="00C56F61">
              <w:rPr>
                <w:rFonts w:eastAsia="Times New Roman" w:cs="Times New Roman"/>
                <w:color w:val="auto"/>
                <w:sz w:val="16"/>
                <w:szCs w:val="16"/>
                <w:bdr w:val="none" w:sz="0" w:space="0" w:color="auto"/>
                <w:lang w:eastAsia="en-GB"/>
              </w:rPr>
              <w:t xml:space="preserve"> tra</w:t>
            </w:r>
            <w:proofErr w:type="gramEnd"/>
            <w:r>
              <w:rPr>
                <w:rFonts w:eastAsia="Times New Roman" w:cs="Times New Roman"/>
                <w:color w:val="auto"/>
                <w:sz w:val="16"/>
                <w:szCs w:val="16"/>
                <w:bdr w:val="none" w:sz="0" w:space="0" w:color="auto"/>
                <w:lang w:eastAsia="en-GB"/>
              </w:rPr>
              <w:t>-</w:t>
            </w:r>
            <w:r w:rsidR="00C56F61">
              <w:rPr>
                <w:rFonts w:eastAsia="Times New Roman" w:cs="Times New Roman"/>
                <w:color w:val="auto"/>
                <w:sz w:val="16"/>
                <w:szCs w:val="16"/>
                <w:bdr w:val="none" w:sz="0" w:space="0" w:color="auto"/>
                <w:lang w:eastAsia="en-GB"/>
              </w:rPr>
              <w:t>s</w:t>
            </w:r>
            <w:r w:rsidRPr="00922A9B">
              <w:rPr>
                <w:rFonts w:eastAsia="Times New Roman" w:cs="Times New Roman"/>
                <w:color w:val="auto"/>
                <w:sz w:val="16"/>
                <w:szCs w:val="16"/>
                <w:bdr w:val="none" w:sz="0" w:space="0" w:color="auto"/>
                <w:lang w:eastAsia="en-GB"/>
              </w:rPr>
              <w:t xml:space="preserve">porto </w:t>
            </w:r>
            <w:r>
              <w:rPr>
                <w:rFonts w:eastAsia="Times New Roman" w:cs="Times New Roman"/>
                <w:color w:val="auto"/>
                <w:sz w:val="16"/>
                <w:szCs w:val="16"/>
                <w:bdr w:val="none" w:sz="0" w:space="0" w:color="auto"/>
                <w:lang w:eastAsia="en-GB"/>
              </w:rPr>
              <w:t xml:space="preserve"> inte</w:t>
            </w:r>
            <w:r w:rsidRPr="00922A9B">
              <w:rPr>
                <w:rFonts w:eastAsia="Times New Roman" w:cs="Times New Roman"/>
                <w:color w:val="auto"/>
                <w:sz w:val="16"/>
                <w:szCs w:val="16"/>
                <w:bdr w:val="none" w:sz="0" w:space="0" w:color="auto"/>
                <w:lang w:eastAsia="en-GB"/>
              </w:rPr>
              <w:t>grato lungo i</w:t>
            </w:r>
            <w:r>
              <w:rPr>
                <w:rFonts w:eastAsia="Times New Roman" w:cs="Times New Roman"/>
                <w:color w:val="auto"/>
                <w:sz w:val="16"/>
                <w:szCs w:val="16"/>
                <w:bdr w:val="none" w:sz="0" w:space="0" w:color="auto"/>
                <w:lang w:eastAsia="en-GB"/>
              </w:rPr>
              <w:t>l corridoio Reno-Alpi</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1C57400C"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31/12/19</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5A40C82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578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024B581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289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1F7E13C3"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1.673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42C8F14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836 </w:t>
            </w:r>
          </w:p>
        </w:tc>
        <w:tc>
          <w:tcPr>
            <w:tcW w:w="411" w:type="pct"/>
            <w:gridSpan w:val="4"/>
            <w:tcBorders>
              <w:top w:val="nil"/>
              <w:left w:val="nil"/>
              <w:bottom w:val="single" w:sz="4" w:space="0" w:color="auto"/>
              <w:right w:val="single" w:sz="4" w:space="0" w:color="auto"/>
            </w:tcBorders>
            <w:shd w:val="clear" w:color="auto" w:fill="auto"/>
            <w:noWrap/>
            <w:vAlign w:val="center"/>
            <w:hideMark/>
          </w:tcPr>
          <w:p w14:paraId="31DD7F5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165 </w:t>
            </w:r>
          </w:p>
        </w:tc>
        <w:tc>
          <w:tcPr>
            <w:tcW w:w="416" w:type="pct"/>
            <w:gridSpan w:val="4"/>
            <w:tcBorders>
              <w:top w:val="nil"/>
              <w:left w:val="nil"/>
              <w:bottom w:val="single" w:sz="4" w:space="0" w:color="auto"/>
              <w:right w:val="single" w:sz="4" w:space="0" w:color="auto"/>
            </w:tcBorders>
            <w:shd w:val="clear" w:color="auto" w:fill="auto"/>
            <w:noWrap/>
            <w:vAlign w:val="center"/>
            <w:hideMark/>
          </w:tcPr>
          <w:p w14:paraId="196C3109"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D00EA2">
              <w:rPr>
                <w:rFonts w:cs="Times New Roman"/>
                <w:sz w:val="16"/>
                <w:szCs w:val="16"/>
              </w:rPr>
              <w:t>57,1</w:t>
            </w:r>
          </w:p>
        </w:tc>
        <w:tc>
          <w:tcPr>
            <w:tcW w:w="261" w:type="pct"/>
            <w:gridSpan w:val="3"/>
            <w:tcBorders>
              <w:top w:val="nil"/>
              <w:left w:val="nil"/>
              <w:bottom w:val="single" w:sz="4" w:space="0" w:color="auto"/>
              <w:right w:val="single" w:sz="4" w:space="0" w:color="auto"/>
            </w:tcBorders>
            <w:shd w:val="clear" w:color="auto" w:fill="auto"/>
            <w:vAlign w:val="center"/>
            <w:hideMark/>
          </w:tcPr>
          <w:p w14:paraId="66A1F1B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   </w:t>
            </w:r>
          </w:p>
        </w:tc>
        <w:tc>
          <w:tcPr>
            <w:tcW w:w="407" w:type="pct"/>
            <w:gridSpan w:val="2"/>
            <w:tcBorders>
              <w:top w:val="nil"/>
              <w:left w:val="nil"/>
              <w:bottom w:val="single" w:sz="4" w:space="0" w:color="auto"/>
              <w:right w:val="single" w:sz="4" w:space="0" w:color="auto"/>
            </w:tcBorders>
            <w:shd w:val="clear" w:color="auto" w:fill="auto"/>
            <w:vAlign w:val="center"/>
          </w:tcPr>
          <w:p w14:paraId="6DC31CA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580 </w:t>
            </w:r>
          </w:p>
        </w:tc>
        <w:tc>
          <w:tcPr>
            <w:tcW w:w="199" w:type="pct"/>
            <w:gridSpan w:val="2"/>
            <w:tcBorders>
              <w:top w:val="nil"/>
              <w:left w:val="nil"/>
              <w:bottom w:val="single" w:sz="4" w:space="0" w:color="auto"/>
            </w:tcBorders>
            <w:shd w:val="clear" w:color="auto" w:fill="auto"/>
            <w:vAlign w:val="center"/>
          </w:tcPr>
          <w:p w14:paraId="712FE3D9" w14:textId="77777777" w:rsidR="00D00EA2" w:rsidRPr="00D00EA2"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eastAsia="Times New Roman" w:cs="Times New Roman"/>
                <w:color w:val="auto"/>
                <w:sz w:val="16"/>
                <w:szCs w:val="16"/>
                <w:bdr w:val="none" w:sz="0" w:space="0" w:color="auto"/>
                <w:lang w:val="en-GB" w:eastAsia="en-GB"/>
              </w:rPr>
            </w:pPr>
            <w:r>
              <w:rPr>
                <w:rFonts w:cs="Times New Roman"/>
                <w:sz w:val="16"/>
                <w:szCs w:val="16"/>
              </w:rPr>
              <w:t>100</w:t>
            </w:r>
          </w:p>
        </w:tc>
      </w:tr>
      <w:tr w:rsidR="00D00EA2" w:rsidRPr="00D00EA2" w14:paraId="140533E5" w14:textId="77777777" w:rsidTr="00C56F61">
        <w:trPr>
          <w:trHeight w:val="556"/>
        </w:trPr>
        <w:tc>
          <w:tcPr>
            <w:tcW w:w="230" w:type="pct"/>
            <w:tcBorders>
              <w:top w:val="nil"/>
              <w:left w:val="nil"/>
              <w:bottom w:val="single" w:sz="4" w:space="0" w:color="auto"/>
              <w:right w:val="single" w:sz="4" w:space="0" w:color="auto"/>
            </w:tcBorders>
            <w:shd w:val="clear" w:color="auto" w:fill="auto"/>
            <w:noWrap/>
            <w:vAlign w:val="center"/>
            <w:hideMark/>
          </w:tcPr>
          <w:p w14:paraId="518302A8"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4</w:t>
            </w:r>
          </w:p>
        </w:tc>
        <w:tc>
          <w:tcPr>
            <w:tcW w:w="362" w:type="pct"/>
            <w:tcBorders>
              <w:top w:val="nil"/>
              <w:left w:val="nil"/>
              <w:bottom w:val="single" w:sz="4" w:space="0" w:color="auto"/>
              <w:right w:val="single" w:sz="4" w:space="0" w:color="auto"/>
            </w:tcBorders>
            <w:shd w:val="clear" w:color="auto" w:fill="auto"/>
            <w:vAlign w:val="center"/>
            <w:hideMark/>
          </w:tcPr>
          <w:p w14:paraId="2A09BAA7"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2015-IT-TM-0247</w:t>
            </w:r>
          </w:p>
          <w:p w14:paraId="524A676B"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96" w:type="pct"/>
            <w:gridSpan w:val="3"/>
            <w:tcBorders>
              <w:top w:val="nil"/>
              <w:left w:val="nil"/>
              <w:bottom w:val="single" w:sz="4" w:space="0" w:color="auto"/>
              <w:right w:val="single" w:sz="4" w:space="0" w:color="auto"/>
            </w:tcBorders>
            <w:shd w:val="clear" w:color="auto" w:fill="auto"/>
            <w:vAlign w:val="center"/>
            <w:hideMark/>
          </w:tcPr>
          <w:p w14:paraId="0B6E4A0B" w14:textId="77777777" w:rsidR="00D00EA2" w:rsidRPr="00B70F83"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ight="-21"/>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Miglioramento dell'Interporto di Padova - Fase 2: misure ancillari e sistemi ICT per ottimizzare le operazioni nei terminal, accessibilità e</w:t>
            </w:r>
            <w:r>
              <w:rPr>
                <w:rFonts w:eastAsia="Times New Roman" w:cs="Times New Roman"/>
                <w:color w:val="auto"/>
                <w:sz w:val="16"/>
                <w:szCs w:val="16"/>
                <w:bdr w:val="none" w:sz="0" w:space="0" w:color="auto"/>
                <w:lang w:eastAsia="en-GB"/>
              </w:rPr>
              <w:t xml:space="preserve">d </w:t>
            </w:r>
            <w:r w:rsidRPr="00922A9B">
              <w:rPr>
                <w:rFonts w:eastAsia="Times New Roman" w:cs="Times New Roman"/>
                <w:color w:val="auto"/>
                <w:sz w:val="16"/>
                <w:szCs w:val="16"/>
                <w:bdr w:val="none" w:sz="0" w:space="0" w:color="auto"/>
                <w:lang w:eastAsia="en-GB"/>
              </w:rPr>
              <w:t xml:space="preserve">interconnessione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211B3721"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31/12/20</w:t>
            </w:r>
          </w:p>
        </w:tc>
        <w:tc>
          <w:tcPr>
            <w:tcW w:w="392" w:type="pct"/>
            <w:gridSpan w:val="2"/>
            <w:tcBorders>
              <w:top w:val="nil"/>
              <w:left w:val="nil"/>
              <w:bottom w:val="single" w:sz="4" w:space="0" w:color="auto"/>
              <w:right w:val="single" w:sz="4" w:space="0" w:color="auto"/>
            </w:tcBorders>
            <w:shd w:val="clear" w:color="auto" w:fill="auto"/>
            <w:noWrap/>
            <w:vAlign w:val="center"/>
            <w:hideMark/>
          </w:tcPr>
          <w:p w14:paraId="2C1EAA2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5.936 </w:t>
            </w:r>
          </w:p>
        </w:tc>
        <w:tc>
          <w:tcPr>
            <w:tcW w:w="522" w:type="pct"/>
            <w:gridSpan w:val="4"/>
            <w:tcBorders>
              <w:top w:val="nil"/>
              <w:left w:val="nil"/>
              <w:bottom w:val="single" w:sz="4" w:space="0" w:color="auto"/>
              <w:right w:val="single" w:sz="4" w:space="0" w:color="auto"/>
            </w:tcBorders>
            <w:shd w:val="clear" w:color="auto" w:fill="auto"/>
            <w:noWrap/>
            <w:vAlign w:val="center"/>
            <w:hideMark/>
          </w:tcPr>
          <w:p w14:paraId="2F71963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1.352 </w:t>
            </w:r>
          </w:p>
        </w:tc>
        <w:tc>
          <w:tcPr>
            <w:tcW w:w="505" w:type="pct"/>
            <w:gridSpan w:val="5"/>
            <w:tcBorders>
              <w:top w:val="nil"/>
              <w:left w:val="nil"/>
              <w:bottom w:val="single" w:sz="4" w:space="0" w:color="auto"/>
              <w:right w:val="single" w:sz="4" w:space="0" w:color="auto"/>
            </w:tcBorders>
            <w:shd w:val="clear" w:color="auto" w:fill="auto"/>
            <w:noWrap/>
            <w:vAlign w:val="center"/>
            <w:hideMark/>
          </w:tcPr>
          <w:p w14:paraId="339CC13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5.936 </w:t>
            </w:r>
          </w:p>
        </w:tc>
        <w:tc>
          <w:tcPr>
            <w:tcW w:w="479" w:type="pct"/>
            <w:gridSpan w:val="4"/>
            <w:tcBorders>
              <w:top w:val="nil"/>
              <w:left w:val="nil"/>
              <w:bottom w:val="single" w:sz="4" w:space="0" w:color="auto"/>
              <w:right w:val="single" w:sz="4" w:space="0" w:color="auto"/>
            </w:tcBorders>
            <w:shd w:val="clear" w:color="auto" w:fill="auto"/>
            <w:noWrap/>
            <w:vAlign w:val="center"/>
            <w:hideMark/>
          </w:tcPr>
          <w:p w14:paraId="1FACC015"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1.352 </w:t>
            </w:r>
          </w:p>
        </w:tc>
        <w:tc>
          <w:tcPr>
            <w:tcW w:w="411" w:type="pct"/>
            <w:gridSpan w:val="4"/>
            <w:tcBorders>
              <w:top w:val="nil"/>
              <w:left w:val="nil"/>
              <w:bottom w:val="single" w:sz="4" w:space="0" w:color="auto"/>
              <w:right w:val="single" w:sz="4" w:space="0" w:color="auto"/>
            </w:tcBorders>
            <w:shd w:val="clear" w:color="auto" w:fill="auto"/>
            <w:noWrap/>
            <w:vAlign w:val="center"/>
          </w:tcPr>
          <w:p w14:paraId="4151B773"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1.082 </w:t>
            </w:r>
          </w:p>
        </w:tc>
        <w:tc>
          <w:tcPr>
            <w:tcW w:w="416" w:type="pct"/>
            <w:gridSpan w:val="4"/>
            <w:tcBorders>
              <w:top w:val="nil"/>
              <w:left w:val="nil"/>
              <w:bottom w:val="single" w:sz="4" w:space="0" w:color="auto"/>
              <w:right w:val="single" w:sz="4" w:space="0" w:color="auto"/>
            </w:tcBorders>
            <w:shd w:val="clear" w:color="auto" w:fill="auto"/>
            <w:noWrap/>
            <w:vAlign w:val="center"/>
          </w:tcPr>
          <w:p w14:paraId="76F79E1A"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D00EA2">
              <w:rPr>
                <w:rFonts w:cs="Times New Roman"/>
                <w:sz w:val="16"/>
                <w:szCs w:val="16"/>
              </w:rPr>
              <w:t>80,0</w:t>
            </w:r>
          </w:p>
        </w:tc>
        <w:tc>
          <w:tcPr>
            <w:tcW w:w="261" w:type="pct"/>
            <w:gridSpan w:val="3"/>
            <w:tcBorders>
              <w:top w:val="nil"/>
              <w:left w:val="nil"/>
              <w:bottom w:val="single" w:sz="4" w:space="0" w:color="auto"/>
              <w:right w:val="single" w:sz="4" w:space="0" w:color="auto"/>
            </w:tcBorders>
            <w:shd w:val="clear" w:color="auto" w:fill="auto"/>
            <w:vAlign w:val="center"/>
          </w:tcPr>
          <w:p w14:paraId="147937C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   </w:t>
            </w:r>
          </w:p>
        </w:tc>
        <w:tc>
          <w:tcPr>
            <w:tcW w:w="407" w:type="pct"/>
            <w:gridSpan w:val="2"/>
            <w:tcBorders>
              <w:top w:val="nil"/>
              <w:left w:val="nil"/>
              <w:bottom w:val="single" w:sz="4" w:space="0" w:color="auto"/>
              <w:right w:val="single" w:sz="4" w:space="0" w:color="auto"/>
            </w:tcBorders>
            <w:shd w:val="clear" w:color="auto" w:fill="auto"/>
            <w:vAlign w:val="center"/>
          </w:tcPr>
          <w:p w14:paraId="095E336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4.595 </w:t>
            </w:r>
          </w:p>
        </w:tc>
        <w:tc>
          <w:tcPr>
            <w:tcW w:w="199" w:type="pct"/>
            <w:gridSpan w:val="2"/>
            <w:tcBorders>
              <w:top w:val="nil"/>
              <w:left w:val="nil"/>
              <w:bottom w:val="single" w:sz="4" w:space="0" w:color="auto"/>
            </w:tcBorders>
            <w:shd w:val="clear" w:color="auto" w:fill="auto"/>
            <w:vAlign w:val="center"/>
          </w:tcPr>
          <w:p w14:paraId="7DE6A2EC"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eastAsia="Times New Roman" w:cs="Times New Roman"/>
                <w:color w:val="auto"/>
                <w:sz w:val="16"/>
                <w:szCs w:val="16"/>
                <w:bdr w:val="none" w:sz="0" w:space="0" w:color="auto"/>
                <w:lang w:val="en-GB" w:eastAsia="en-GB"/>
              </w:rPr>
            </w:pPr>
            <w:r>
              <w:rPr>
                <w:rFonts w:cs="Times New Roman"/>
                <w:sz w:val="16"/>
                <w:szCs w:val="16"/>
              </w:rPr>
              <w:t>95</w:t>
            </w:r>
          </w:p>
        </w:tc>
      </w:tr>
      <w:tr w:rsidR="00D00EA2" w:rsidRPr="00D00EA2" w14:paraId="587FC55A" w14:textId="77777777" w:rsidTr="00C56F61">
        <w:trPr>
          <w:trHeight w:val="900"/>
        </w:trPr>
        <w:tc>
          <w:tcPr>
            <w:tcW w:w="230" w:type="pct"/>
            <w:tcBorders>
              <w:top w:val="nil"/>
              <w:left w:val="nil"/>
              <w:bottom w:val="single" w:sz="4" w:space="0" w:color="auto"/>
              <w:right w:val="single" w:sz="4" w:space="0" w:color="auto"/>
            </w:tcBorders>
            <w:shd w:val="clear" w:color="auto" w:fill="auto"/>
            <w:noWrap/>
            <w:vAlign w:val="center"/>
            <w:hideMark/>
          </w:tcPr>
          <w:p w14:paraId="26A48AEB"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5</w:t>
            </w:r>
          </w:p>
        </w:tc>
        <w:tc>
          <w:tcPr>
            <w:tcW w:w="362" w:type="pct"/>
            <w:tcBorders>
              <w:top w:val="nil"/>
              <w:left w:val="nil"/>
              <w:bottom w:val="single" w:sz="4" w:space="0" w:color="auto"/>
              <w:right w:val="single" w:sz="4" w:space="0" w:color="auto"/>
            </w:tcBorders>
            <w:shd w:val="clear" w:color="auto" w:fill="auto"/>
            <w:vAlign w:val="center"/>
            <w:hideMark/>
          </w:tcPr>
          <w:p w14:paraId="11723217"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2015-IT-TM-0312</w:t>
            </w:r>
          </w:p>
          <w:p w14:paraId="64F8523A"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-M</w:t>
            </w:r>
          </w:p>
        </w:tc>
        <w:tc>
          <w:tcPr>
            <w:tcW w:w="596" w:type="pct"/>
            <w:gridSpan w:val="3"/>
            <w:tcBorders>
              <w:top w:val="nil"/>
              <w:left w:val="nil"/>
              <w:bottom w:val="single" w:sz="4" w:space="0" w:color="auto"/>
              <w:right w:val="single" w:sz="4" w:space="0" w:color="auto"/>
            </w:tcBorders>
            <w:shd w:val="clear" w:color="auto" w:fill="auto"/>
            <w:vAlign w:val="center"/>
            <w:hideMark/>
          </w:tcPr>
          <w:p w14:paraId="25776BEA" w14:textId="77777777" w:rsidR="00D00EA2" w:rsidRPr="00B70F83"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ight="-21"/>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 xml:space="preserve">VAMP-UP – </w:t>
            </w:r>
            <w:r w:rsidRPr="00922A9B">
              <w:rPr>
                <w:rFonts w:eastAsia="Times New Roman" w:cs="Times New Roman"/>
                <w:color w:val="auto"/>
                <w:sz w:val="16"/>
                <w:szCs w:val="16"/>
                <w:bdr w:val="none" w:sz="0" w:space="0" w:color="auto"/>
                <w:lang w:eastAsia="en-GB"/>
              </w:rPr>
              <w:t xml:space="preserve">Ottimizzazione e miglioramento delle connessioni intermodali dell'Interporto di Vado </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hideMark/>
          </w:tcPr>
          <w:p w14:paraId="7173B89C" w14:textId="77777777" w:rsidR="00D00EA2" w:rsidRPr="00922A9B" w:rsidRDefault="00D00EA2" w:rsidP="00C22B0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w:t>
            </w:r>
            <w:r>
              <w:rPr>
                <w:rFonts w:eastAsia="Times New Roman" w:cs="Times New Roman"/>
                <w:color w:val="auto"/>
                <w:sz w:val="16"/>
                <w:szCs w:val="16"/>
                <w:bdr w:val="none" w:sz="0" w:space="0" w:color="auto"/>
                <w:lang w:val="en-GB" w:eastAsia="en-GB"/>
              </w:rPr>
              <w:t>10</w:t>
            </w:r>
            <w:r w:rsidRPr="00922A9B">
              <w:rPr>
                <w:rFonts w:eastAsia="Times New Roman" w:cs="Times New Roman"/>
                <w:color w:val="auto"/>
                <w:sz w:val="16"/>
                <w:szCs w:val="16"/>
                <w:bdr w:val="none" w:sz="0" w:space="0" w:color="auto"/>
                <w:lang w:val="en-GB" w:eastAsia="en-GB"/>
              </w:rPr>
              <w:t>/</w:t>
            </w:r>
            <w:r w:rsidR="00C22B04">
              <w:rPr>
                <w:rFonts w:eastAsia="Times New Roman" w:cs="Times New Roman"/>
                <w:color w:val="auto"/>
                <w:sz w:val="16"/>
                <w:szCs w:val="16"/>
                <w:bdr w:val="none" w:sz="0" w:space="0" w:color="auto"/>
                <w:lang w:val="en-GB" w:eastAsia="en-GB"/>
              </w:rPr>
              <w:t>20</w:t>
            </w:r>
          </w:p>
        </w:tc>
        <w:tc>
          <w:tcPr>
            <w:tcW w:w="392" w:type="pct"/>
            <w:gridSpan w:val="2"/>
            <w:tcBorders>
              <w:top w:val="nil"/>
              <w:left w:val="nil"/>
              <w:bottom w:val="single" w:sz="4" w:space="0" w:color="auto"/>
              <w:right w:val="single" w:sz="4" w:space="0" w:color="auto"/>
            </w:tcBorders>
            <w:shd w:val="clear" w:color="auto" w:fill="auto"/>
            <w:noWrap/>
            <w:vAlign w:val="center"/>
          </w:tcPr>
          <w:p w14:paraId="7F7E393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10.406 </w:t>
            </w:r>
          </w:p>
        </w:tc>
        <w:tc>
          <w:tcPr>
            <w:tcW w:w="522" w:type="pct"/>
            <w:gridSpan w:val="4"/>
            <w:tcBorders>
              <w:top w:val="nil"/>
              <w:left w:val="nil"/>
              <w:bottom w:val="single" w:sz="4" w:space="0" w:color="auto"/>
              <w:right w:val="single" w:sz="4" w:space="0" w:color="auto"/>
            </w:tcBorders>
            <w:shd w:val="clear" w:color="auto" w:fill="auto"/>
            <w:noWrap/>
            <w:vAlign w:val="center"/>
          </w:tcPr>
          <w:p w14:paraId="28671A6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1.658 </w:t>
            </w:r>
          </w:p>
        </w:tc>
        <w:tc>
          <w:tcPr>
            <w:tcW w:w="505" w:type="pct"/>
            <w:gridSpan w:val="5"/>
            <w:tcBorders>
              <w:top w:val="nil"/>
              <w:left w:val="nil"/>
              <w:bottom w:val="single" w:sz="4" w:space="0" w:color="auto"/>
              <w:right w:val="single" w:sz="4" w:space="0" w:color="auto"/>
            </w:tcBorders>
            <w:shd w:val="clear" w:color="auto" w:fill="auto"/>
            <w:noWrap/>
            <w:vAlign w:val="center"/>
          </w:tcPr>
          <w:p w14:paraId="166CA64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10.406 </w:t>
            </w:r>
          </w:p>
        </w:tc>
        <w:tc>
          <w:tcPr>
            <w:tcW w:w="479" w:type="pct"/>
            <w:gridSpan w:val="4"/>
            <w:tcBorders>
              <w:top w:val="nil"/>
              <w:left w:val="nil"/>
              <w:bottom w:val="single" w:sz="4" w:space="0" w:color="auto"/>
              <w:right w:val="single" w:sz="4" w:space="0" w:color="auto"/>
            </w:tcBorders>
            <w:shd w:val="clear" w:color="auto" w:fill="auto"/>
            <w:noWrap/>
            <w:vAlign w:val="center"/>
          </w:tcPr>
          <w:p w14:paraId="6133C8D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1.658 </w:t>
            </w:r>
          </w:p>
        </w:tc>
        <w:tc>
          <w:tcPr>
            <w:tcW w:w="411" w:type="pct"/>
            <w:gridSpan w:val="4"/>
            <w:tcBorders>
              <w:top w:val="nil"/>
              <w:left w:val="nil"/>
              <w:bottom w:val="single" w:sz="4" w:space="0" w:color="auto"/>
              <w:right w:val="single" w:sz="4" w:space="0" w:color="auto"/>
            </w:tcBorders>
            <w:shd w:val="clear" w:color="auto" w:fill="auto"/>
            <w:noWrap/>
            <w:vAlign w:val="center"/>
          </w:tcPr>
          <w:p w14:paraId="1AAD7C5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1.385 </w:t>
            </w:r>
          </w:p>
        </w:tc>
        <w:tc>
          <w:tcPr>
            <w:tcW w:w="416" w:type="pct"/>
            <w:gridSpan w:val="4"/>
            <w:tcBorders>
              <w:top w:val="nil"/>
              <w:left w:val="nil"/>
              <w:bottom w:val="single" w:sz="4" w:space="0" w:color="auto"/>
              <w:right w:val="single" w:sz="4" w:space="0" w:color="auto"/>
            </w:tcBorders>
            <w:shd w:val="clear" w:color="auto" w:fill="auto"/>
            <w:noWrap/>
            <w:vAlign w:val="center"/>
          </w:tcPr>
          <w:p w14:paraId="0C86BB1E"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D00EA2">
              <w:rPr>
                <w:rFonts w:cs="Times New Roman"/>
                <w:sz w:val="16"/>
                <w:szCs w:val="16"/>
              </w:rPr>
              <w:t>83,5</w:t>
            </w:r>
          </w:p>
        </w:tc>
        <w:tc>
          <w:tcPr>
            <w:tcW w:w="261" w:type="pct"/>
            <w:gridSpan w:val="3"/>
            <w:tcBorders>
              <w:top w:val="nil"/>
              <w:left w:val="nil"/>
              <w:bottom w:val="single" w:sz="4" w:space="0" w:color="auto"/>
              <w:right w:val="single" w:sz="4" w:space="0" w:color="auto"/>
            </w:tcBorders>
            <w:shd w:val="clear" w:color="auto" w:fill="auto"/>
            <w:vAlign w:val="center"/>
          </w:tcPr>
          <w:p w14:paraId="27C52E43"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sz w:val="16"/>
                <w:szCs w:val="16"/>
              </w:rPr>
            </w:pPr>
            <w:r w:rsidRPr="00D00EA2">
              <w:rPr>
                <w:rFonts w:cs="Times New Roman"/>
                <w:sz w:val="16"/>
                <w:szCs w:val="16"/>
              </w:rPr>
              <w:t xml:space="preserve">-157 </w:t>
            </w:r>
          </w:p>
        </w:tc>
        <w:tc>
          <w:tcPr>
            <w:tcW w:w="407" w:type="pct"/>
            <w:gridSpan w:val="2"/>
            <w:tcBorders>
              <w:top w:val="nil"/>
              <w:left w:val="nil"/>
              <w:bottom w:val="single" w:sz="4" w:space="0" w:color="auto"/>
              <w:right w:val="single" w:sz="4" w:space="0" w:color="auto"/>
            </w:tcBorders>
            <w:shd w:val="clear" w:color="auto" w:fill="auto"/>
            <w:vAlign w:val="center"/>
          </w:tcPr>
          <w:p w14:paraId="528C9B4D"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10.289 </w:t>
            </w:r>
          </w:p>
        </w:tc>
        <w:tc>
          <w:tcPr>
            <w:tcW w:w="199" w:type="pct"/>
            <w:gridSpan w:val="2"/>
            <w:tcBorders>
              <w:top w:val="nil"/>
              <w:left w:val="nil"/>
              <w:bottom w:val="single" w:sz="4" w:space="0" w:color="auto"/>
            </w:tcBorders>
            <w:shd w:val="clear" w:color="auto" w:fill="auto"/>
            <w:vAlign w:val="center"/>
          </w:tcPr>
          <w:p w14:paraId="772EC671"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eastAsia="Times New Roman" w:cs="Times New Roman"/>
                <w:color w:val="auto"/>
                <w:sz w:val="16"/>
                <w:szCs w:val="16"/>
                <w:bdr w:val="none" w:sz="0" w:space="0" w:color="auto"/>
                <w:lang w:val="en-GB" w:eastAsia="en-GB"/>
              </w:rPr>
            </w:pPr>
            <w:r>
              <w:rPr>
                <w:rFonts w:cs="Times New Roman"/>
                <w:sz w:val="16"/>
                <w:szCs w:val="16"/>
              </w:rPr>
              <w:t>98</w:t>
            </w:r>
          </w:p>
        </w:tc>
      </w:tr>
      <w:tr w:rsidR="00D00EA2" w:rsidRPr="00D00EA2" w14:paraId="627D4272" w14:textId="77777777" w:rsidTr="00C56F61">
        <w:trPr>
          <w:trHeight w:val="428"/>
        </w:trPr>
        <w:tc>
          <w:tcPr>
            <w:tcW w:w="230" w:type="pct"/>
            <w:tcBorders>
              <w:top w:val="nil"/>
              <w:left w:val="nil"/>
              <w:bottom w:val="single" w:sz="4" w:space="0" w:color="auto"/>
              <w:right w:val="single" w:sz="4" w:space="0" w:color="auto"/>
            </w:tcBorders>
            <w:shd w:val="clear" w:color="auto" w:fill="auto"/>
            <w:noWrap/>
            <w:vAlign w:val="center"/>
          </w:tcPr>
          <w:p w14:paraId="38C2E18A"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6</w:t>
            </w:r>
          </w:p>
        </w:tc>
        <w:tc>
          <w:tcPr>
            <w:tcW w:w="362" w:type="pct"/>
            <w:tcBorders>
              <w:top w:val="nil"/>
              <w:left w:val="nil"/>
              <w:bottom w:val="single" w:sz="4" w:space="0" w:color="auto"/>
              <w:right w:val="single" w:sz="4" w:space="0" w:color="auto"/>
            </w:tcBorders>
            <w:shd w:val="clear" w:color="auto" w:fill="auto"/>
            <w:vAlign w:val="center"/>
          </w:tcPr>
          <w:p w14:paraId="27534ECA"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5"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2016-EU-TA-0185</w:t>
            </w:r>
          </w:p>
          <w:p w14:paraId="42026530"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96" w:type="pct"/>
            <w:gridSpan w:val="3"/>
            <w:tcBorders>
              <w:top w:val="nil"/>
              <w:left w:val="nil"/>
              <w:bottom w:val="single" w:sz="4" w:space="0" w:color="auto"/>
              <w:right w:val="single" w:sz="4" w:space="0" w:color="auto"/>
            </w:tcBorders>
            <w:shd w:val="clear" w:color="auto" w:fill="auto"/>
            <w:vAlign w:val="center"/>
          </w:tcPr>
          <w:p w14:paraId="70F0B90D"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ight="-21"/>
              <w:rPr>
                <w:rFonts w:eastAsia="Times New Roman" w:cs="Times New Roman"/>
                <w:color w:val="auto"/>
                <w:sz w:val="16"/>
                <w:szCs w:val="16"/>
                <w:bdr w:val="none" w:sz="0" w:space="0" w:color="auto"/>
                <w:lang w:eastAsia="en-GB"/>
              </w:rPr>
            </w:pPr>
            <w:r w:rsidRPr="00302B19">
              <w:rPr>
                <w:rFonts w:eastAsia="Times New Roman" w:cs="Times New Roman"/>
                <w:color w:val="auto"/>
                <w:sz w:val="16"/>
                <w:szCs w:val="16"/>
                <w:bdr w:val="none" w:sz="0" w:space="0" w:color="auto"/>
                <w:lang w:eastAsia="en-GB"/>
              </w:rPr>
              <w:t xml:space="preserve">Sviluppo di un di un software </w:t>
            </w:r>
            <w:proofErr w:type="gramStart"/>
            <w:r w:rsidRPr="00302B19">
              <w:rPr>
                <w:rFonts w:eastAsia="Times New Roman" w:cs="Times New Roman"/>
                <w:color w:val="auto"/>
                <w:sz w:val="16"/>
                <w:szCs w:val="16"/>
                <w:bdr w:val="none" w:sz="0" w:space="0" w:color="auto"/>
                <w:lang w:eastAsia="en-GB"/>
              </w:rPr>
              <w:t>armonizzato  per</w:t>
            </w:r>
            <w:proofErr w:type="gramEnd"/>
            <w:r w:rsidRPr="00302B19">
              <w:rPr>
                <w:rFonts w:eastAsia="Times New Roman" w:cs="Times New Roman"/>
                <w:color w:val="auto"/>
                <w:sz w:val="16"/>
                <w:szCs w:val="16"/>
                <w:bdr w:val="none" w:sz="0" w:space="0" w:color="auto"/>
                <w:lang w:eastAsia="en-GB"/>
              </w:rPr>
              <w:t xml:space="preserve"> dati ferroviari real-time e dati </w:t>
            </w:r>
            <w:r>
              <w:rPr>
                <w:rFonts w:eastAsia="Times New Roman" w:cs="Times New Roman"/>
                <w:color w:val="auto"/>
                <w:sz w:val="16"/>
                <w:szCs w:val="16"/>
                <w:bdr w:val="none" w:sz="0" w:space="0" w:color="auto"/>
                <w:lang w:eastAsia="en-GB"/>
              </w:rPr>
              <w:t>ETA (</w:t>
            </w:r>
            <w:proofErr w:type="spellStart"/>
            <w:r w:rsidRPr="00C56F61">
              <w:rPr>
                <w:rFonts w:eastAsia="Times New Roman" w:cs="Times New Roman"/>
                <w:i/>
                <w:color w:val="auto"/>
                <w:sz w:val="16"/>
                <w:szCs w:val="16"/>
                <w:bdr w:val="none" w:sz="0" w:space="0" w:color="auto"/>
                <w:lang w:eastAsia="en-GB"/>
              </w:rPr>
              <w:t>Estimated</w:t>
            </w:r>
            <w:proofErr w:type="spellEnd"/>
            <w:r w:rsidRPr="00C56F61">
              <w:rPr>
                <w:rFonts w:eastAsia="Times New Roman" w:cs="Times New Roman"/>
                <w:i/>
                <w:color w:val="auto"/>
                <w:sz w:val="16"/>
                <w:szCs w:val="16"/>
                <w:bdr w:val="none" w:sz="0" w:space="0" w:color="auto"/>
                <w:lang w:eastAsia="en-GB"/>
              </w:rPr>
              <w:t xml:space="preserve"> Time of </w:t>
            </w:r>
            <w:proofErr w:type="spellStart"/>
            <w:r w:rsidRPr="00C56F61">
              <w:rPr>
                <w:rFonts w:eastAsia="Times New Roman" w:cs="Times New Roman"/>
                <w:i/>
                <w:color w:val="auto"/>
                <w:sz w:val="16"/>
                <w:szCs w:val="16"/>
                <w:bdr w:val="none" w:sz="0" w:space="0" w:color="auto"/>
                <w:lang w:eastAsia="en-GB"/>
              </w:rPr>
              <w:t>Arrival</w:t>
            </w:r>
            <w:proofErr w:type="spellEnd"/>
            <w:r w:rsidRPr="00302B19">
              <w:rPr>
                <w:rFonts w:eastAsia="Times New Roman" w:cs="Times New Roman"/>
                <w:color w:val="auto"/>
                <w:sz w:val="16"/>
                <w:szCs w:val="16"/>
                <w:bdr w:val="none" w:sz="0" w:space="0" w:color="auto"/>
                <w:lang w:eastAsia="en-GB"/>
              </w:rPr>
              <w:t>)  lungo il Corridoio Reno -Alpi</w:t>
            </w:r>
          </w:p>
        </w:tc>
        <w:tc>
          <w:tcPr>
            <w:tcW w:w="220" w:type="pct"/>
            <w:gridSpan w:val="2"/>
            <w:tcBorders>
              <w:top w:val="nil"/>
              <w:left w:val="nil"/>
              <w:bottom w:val="single" w:sz="4" w:space="0" w:color="auto"/>
              <w:right w:val="single" w:sz="4" w:space="0" w:color="auto"/>
            </w:tcBorders>
            <w:shd w:val="clear" w:color="auto" w:fill="auto"/>
            <w:noWrap/>
            <w:textDirection w:val="btLr"/>
            <w:vAlign w:val="center"/>
          </w:tcPr>
          <w:p w14:paraId="5DF82706"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w:t>
            </w:r>
            <w:r>
              <w:rPr>
                <w:rFonts w:eastAsia="Times New Roman" w:cs="Times New Roman"/>
                <w:color w:val="auto"/>
                <w:sz w:val="16"/>
                <w:szCs w:val="16"/>
                <w:bdr w:val="none" w:sz="0" w:space="0" w:color="auto"/>
                <w:lang w:val="en-GB" w:eastAsia="en-GB"/>
              </w:rPr>
              <w:t>12</w:t>
            </w:r>
            <w:r w:rsidRPr="00922A9B">
              <w:rPr>
                <w:rFonts w:eastAsia="Times New Roman" w:cs="Times New Roman"/>
                <w:color w:val="auto"/>
                <w:sz w:val="16"/>
                <w:szCs w:val="16"/>
                <w:bdr w:val="none" w:sz="0" w:space="0" w:color="auto"/>
                <w:lang w:val="en-GB" w:eastAsia="en-GB"/>
              </w:rPr>
              <w:t>/19</w:t>
            </w:r>
          </w:p>
        </w:tc>
        <w:tc>
          <w:tcPr>
            <w:tcW w:w="392" w:type="pct"/>
            <w:gridSpan w:val="2"/>
            <w:tcBorders>
              <w:top w:val="nil"/>
              <w:left w:val="nil"/>
              <w:bottom w:val="single" w:sz="4" w:space="0" w:color="auto"/>
              <w:right w:val="single" w:sz="4" w:space="0" w:color="auto"/>
            </w:tcBorders>
            <w:shd w:val="clear" w:color="auto" w:fill="auto"/>
            <w:noWrap/>
            <w:vAlign w:val="center"/>
          </w:tcPr>
          <w:p w14:paraId="13FE0266"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457 </w:t>
            </w:r>
          </w:p>
        </w:tc>
        <w:tc>
          <w:tcPr>
            <w:tcW w:w="522" w:type="pct"/>
            <w:gridSpan w:val="4"/>
            <w:tcBorders>
              <w:top w:val="nil"/>
              <w:left w:val="nil"/>
              <w:bottom w:val="single" w:sz="4" w:space="0" w:color="auto"/>
              <w:right w:val="single" w:sz="4" w:space="0" w:color="auto"/>
            </w:tcBorders>
            <w:shd w:val="clear" w:color="auto" w:fill="auto"/>
            <w:noWrap/>
            <w:vAlign w:val="center"/>
          </w:tcPr>
          <w:p w14:paraId="12AEC82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229 </w:t>
            </w:r>
          </w:p>
        </w:tc>
        <w:tc>
          <w:tcPr>
            <w:tcW w:w="505" w:type="pct"/>
            <w:gridSpan w:val="5"/>
            <w:tcBorders>
              <w:top w:val="nil"/>
              <w:left w:val="nil"/>
              <w:bottom w:val="single" w:sz="4" w:space="0" w:color="auto"/>
              <w:right w:val="single" w:sz="4" w:space="0" w:color="auto"/>
            </w:tcBorders>
            <w:shd w:val="clear" w:color="auto" w:fill="auto"/>
            <w:noWrap/>
            <w:vAlign w:val="center"/>
          </w:tcPr>
          <w:p w14:paraId="5640D2A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2.858 </w:t>
            </w:r>
          </w:p>
        </w:tc>
        <w:tc>
          <w:tcPr>
            <w:tcW w:w="479" w:type="pct"/>
            <w:gridSpan w:val="4"/>
            <w:tcBorders>
              <w:top w:val="nil"/>
              <w:left w:val="nil"/>
              <w:bottom w:val="single" w:sz="4" w:space="0" w:color="auto"/>
              <w:right w:val="single" w:sz="4" w:space="0" w:color="auto"/>
            </w:tcBorders>
            <w:shd w:val="clear" w:color="auto" w:fill="auto"/>
            <w:noWrap/>
            <w:vAlign w:val="center"/>
          </w:tcPr>
          <w:p w14:paraId="0FDF79F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1.429 </w:t>
            </w:r>
          </w:p>
        </w:tc>
        <w:tc>
          <w:tcPr>
            <w:tcW w:w="411" w:type="pct"/>
            <w:gridSpan w:val="4"/>
            <w:tcBorders>
              <w:top w:val="nil"/>
              <w:left w:val="nil"/>
              <w:bottom w:val="single" w:sz="4" w:space="0" w:color="auto"/>
              <w:right w:val="single" w:sz="4" w:space="0" w:color="auto"/>
            </w:tcBorders>
            <w:shd w:val="clear" w:color="auto" w:fill="auto"/>
            <w:noWrap/>
            <w:vAlign w:val="center"/>
          </w:tcPr>
          <w:p w14:paraId="0B56ABE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93 </w:t>
            </w:r>
          </w:p>
        </w:tc>
        <w:tc>
          <w:tcPr>
            <w:tcW w:w="416" w:type="pct"/>
            <w:gridSpan w:val="4"/>
            <w:tcBorders>
              <w:top w:val="nil"/>
              <w:left w:val="nil"/>
              <w:bottom w:val="single" w:sz="4" w:space="0" w:color="auto"/>
              <w:right w:val="single" w:sz="4" w:space="0" w:color="auto"/>
            </w:tcBorders>
            <w:shd w:val="clear" w:color="auto" w:fill="auto"/>
            <w:noWrap/>
            <w:vAlign w:val="center"/>
          </w:tcPr>
          <w:p w14:paraId="170DBF72"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40,5</w:t>
            </w:r>
          </w:p>
        </w:tc>
        <w:tc>
          <w:tcPr>
            <w:tcW w:w="261" w:type="pct"/>
            <w:gridSpan w:val="3"/>
            <w:tcBorders>
              <w:top w:val="nil"/>
              <w:left w:val="nil"/>
              <w:bottom w:val="single" w:sz="4" w:space="0" w:color="auto"/>
              <w:right w:val="single" w:sz="4" w:space="0" w:color="auto"/>
            </w:tcBorders>
            <w:shd w:val="clear" w:color="auto" w:fill="auto"/>
            <w:vAlign w:val="center"/>
          </w:tcPr>
          <w:p w14:paraId="05763BEE"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-3 </w:t>
            </w:r>
          </w:p>
        </w:tc>
        <w:tc>
          <w:tcPr>
            <w:tcW w:w="407" w:type="pct"/>
            <w:gridSpan w:val="2"/>
            <w:tcBorders>
              <w:top w:val="nil"/>
              <w:left w:val="nil"/>
              <w:bottom w:val="single" w:sz="4" w:space="0" w:color="auto"/>
              <w:right w:val="single" w:sz="4" w:space="0" w:color="auto"/>
            </w:tcBorders>
            <w:shd w:val="clear" w:color="auto" w:fill="auto"/>
            <w:vAlign w:val="center"/>
          </w:tcPr>
          <w:p w14:paraId="23E5BFD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458 </w:t>
            </w:r>
          </w:p>
        </w:tc>
        <w:tc>
          <w:tcPr>
            <w:tcW w:w="199" w:type="pct"/>
            <w:gridSpan w:val="2"/>
            <w:tcBorders>
              <w:top w:val="nil"/>
              <w:left w:val="nil"/>
              <w:bottom w:val="single" w:sz="4" w:space="0" w:color="auto"/>
            </w:tcBorders>
            <w:shd w:val="clear" w:color="auto" w:fill="auto"/>
            <w:vAlign w:val="center"/>
          </w:tcPr>
          <w:p w14:paraId="3FFCDB7E" w14:textId="77777777" w:rsidR="00D00EA2" w:rsidRPr="00D00EA2" w:rsidRDefault="007B13B1"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100</w:t>
            </w:r>
          </w:p>
        </w:tc>
      </w:tr>
      <w:tr w:rsidR="00002E17" w:rsidRPr="00002E17" w14:paraId="7ABCB29B" w14:textId="77777777" w:rsidTr="00C56F61">
        <w:trPr>
          <w:trHeight w:val="1350"/>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7A6AE8CD"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7</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271F50F"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2016-IT-TM-0284</w:t>
            </w:r>
          </w:p>
          <w:p w14:paraId="18D33291"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-S</w:t>
            </w:r>
          </w:p>
        </w:tc>
        <w:tc>
          <w:tcPr>
            <w:tcW w:w="596" w:type="pct"/>
            <w:gridSpan w:val="3"/>
            <w:tcBorders>
              <w:top w:val="single" w:sz="4" w:space="0" w:color="auto"/>
              <w:left w:val="nil"/>
              <w:bottom w:val="single" w:sz="4" w:space="0" w:color="auto"/>
              <w:right w:val="single" w:sz="4" w:space="0" w:color="auto"/>
            </w:tcBorders>
            <w:shd w:val="clear" w:color="auto" w:fill="auto"/>
            <w:vAlign w:val="center"/>
            <w:hideMark/>
          </w:tcPr>
          <w:p w14:paraId="7947B0BA" w14:textId="77777777" w:rsidR="00D00EA2" w:rsidRPr="00B70F83" w:rsidRDefault="00D00EA2"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GAINN4MED -</w:t>
            </w:r>
            <w:r>
              <w:rPr>
                <w:rFonts w:eastAsia="Times New Roman" w:cs="Times New Roman"/>
                <w:color w:val="auto"/>
                <w:sz w:val="16"/>
                <w:szCs w:val="16"/>
                <w:bdr w:val="none" w:sz="0" w:space="0" w:color="auto"/>
                <w:lang w:eastAsia="en-GB"/>
              </w:rPr>
              <w:t>L</w:t>
            </w:r>
            <w:r w:rsidRPr="00922A9B">
              <w:rPr>
                <w:rFonts w:eastAsia="Times New Roman" w:cs="Times New Roman"/>
                <w:color w:val="auto"/>
                <w:sz w:val="16"/>
                <w:szCs w:val="16"/>
                <w:bdr w:val="none" w:sz="0" w:space="0" w:color="auto"/>
                <w:lang w:eastAsia="en-GB"/>
              </w:rPr>
              <w:t xml:space="preserve">avori infrastrutturali nell'interporto di Padova, stazioni per il rifornimento stradale di </w:t>
            </w:r>
            <w:r w:rsidR="002D4FDD">
              <w:rPr>
                <w:rFonts w:eastAsia="Times New Roman" w:cs="Times New Roman"/>
                <w:color w:val="auto"/>
                <w:sz w:val="16"/>
                <w:szCs w:val="16"/>
                <w:bdr w:val="none" w:sz="0" w:space="0" w:color="auto"/>
                <w:lang w:eastAsia="en-GB"/>
              </w:rPr>
              <w:t xml:space="preserve">GNL </w:t>
            </w:r>
            <w:r>
              <w:rPr>
                <w:rFonts w:eastAsia="Times New Roman" w:cs="Times New Roman"/>
                <w:color w:val="auto"/>
                <w:sz w:val="16"/>
                <w:szCs w:val="16"/>
                <w:bdr w:val="none" w:sz="0" w:space="0" w:color="auto"/>
                <w:lang w:eastAsia="en-GB"/>
              </w:rPr>
              <w:t>lungo i C</w:t>
            </w:r>
            <w:r w:rsidRPr="00922A9B">
              <w:rPr>
                <w:rFonts w:eastAsia="Times New Roman" w:cs="Times New Roman"/>
                <w:color w:val="auto"/>
                <w:sz w:val="16"/>
                <w:szCs w:val="16"/>
                <w:bdr w:val="none" w:sz="0" w:space="0" w:color="auto"/>
                <w:lang w:eastAsia="en-GB"/>
              </w:rPr>
              <w:t>orridoi SCAN-MED e MED.</w:t>
            </w:r>
          </w:p>
        </w:tc>
        <w:tc>
          <w:tcPr>
            <w:tcW w:w="220" w:type="pct"/>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14:paraId="4E53B76C" w14:textId="77777777" w:rsidR="00D00EA2" w:rsidRPr="00922A9B" w:rsidRDefault="00D00EA2" w:rsidP="00FD2D1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w:t>
            </w:r>
            <w:r w:rsidR="00FD2D1E">
              <w:rPr>
                <w:rFonts w:eastAsia="Times New Roman" w:cs="Times New Roman"/>
                <w:color w:val="auto"/>
                <w:sz w:val="16"/>
                <w:szCs w:val="16"/>
                <w:bdr w:val="none" w:sz="0" w:space="0" w:color="auto"/>
                <w:lang w:val="en-GB" w:eastAsia="en-GB"/>
              </w:rPr>
              <w:t>0/09</w:t>
            </w:r>
            <w:r w:rsidRPr="00922A9B">
              <w:rPr>
                <w:rFonts w:eastAsia="Times New Roman" w:cs="Times New Roman"/>
                <w:color w:val="auto"/>
                <w:sz w:val="16"/>
                <w:szCs w:val="16"/>
                <w:bdr w:val="none" w:sz="0" w:space="0" w:color="auto"/>
                <w:lang w:val="en-GB" w:eastAsia="en-GB"/>
              </w:rPr>
              <w:t>/20</w:t>
            </w:r>
          </w:p>
        </w:tc>
        <w:tc>
          <w:tcPr>
            <w:tcW w:w="392" w:type="pct"/>
            <w:gridSpan w:val="2"/>
            <w:tcBorders>
              <w:top w:val="single" w:sz="4" w:space="0" w:color="auto"/>
              <w:left w:val="nil"/>
              <w:bottom w:val="single" w:sz="4" w:space="0" w:color="auto"/>
              <w:right w:val="single" w:sz="4" w:space="0" w:color="auto"/>
            </w:tcBorders>
            <w:shd w:val="clear" w:color="auto" w:fill="auto"/>
            <w:noWrap/>
            <w:vAlign w:val="center"/>
          </w:tcPr>
          <w:p w14:paraId="7CB07AC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9.300 </w:t>
            </w:r>
          </w:p>
        </w:tc>
        <w:tc>
          <w:tcPr>
            <w:tcW w:w="522" w:type="pct"/>
            <w:gridSpan w:val="4"/>
            <w:tcBorders>
              <w:top w:val="single" w:sz="4" w:space="0" w:color="auto"/>
              <w:left w:val="nil"/>
              <w:bottom w:val="single" w:sz="4" w:space="0" w:color="auto"/>
              <w:right w:val="single" w:sz="4" w:space="0" w:color="auto"/>
            </w:tcBorders>
            <w:shd w:val="clear" w:color="auto" w:fill="auto"/>
            <w:noWrap/>
            <w:vAlign w:val="center"/>
          </w:tcPr>
          <w:p w14:paraId="19632E9D"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4.650 </w:t>
            </w:r>
          </w:p>
        </w:tc>
        <w:tc>
          <w:tcPr>
            <w:tcW w:w="505" w:type="pct"/>
            <w:gridSpan w:val="5"/>
            <w:tcBorders>
              <w:top w:val="single" w:sz="4" w:space="0" w:color="auto"/>
              <w:left w:val="nil"/>
              <w:bottom w:val="single" w:sz="4" w:space="0" w:color="auto"/>
              <w:right w:val="single" w:sz="4" w:space="0" w:color="auto"/>
            </w:tcBorders>
            <w:shd w:val="clear" w:color="auto" w:fill="auto"/>
            <w:noWrap/>
            <w:vAlign w:val="center"/>
          </w:tcPr>
          <w:p w14:paraId="0CFFFC81"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9.300 </w:t>
            </w:r>
          </w:p>
        </w:tc>
        <w:tc>
          <w:tcPr>
            <w:tcW w:w="479" w:type="pct"/>
            <w:gridSpan w:val="4"/>
            <w:tcBorders>
              <w:top w:val="single" w:sz="4" w:space="0" w:color="auto"/>
              <w:left w:val="nil"/>
              <w:bottom w:val="single" w:sz="4" w:space="0" w:color="auto"/>
              <w:right w:val="single" w:sz="4" w:space="0" w:color="auto"/>
            </w:tcBorders>
            <w:shd w:val="clear" w:color="auto" w:fill="auto"/>
            <w:noWrap/>
            <w:vAlign w:val="center"/>
          </w:tcPr>
          <w:p w14:paraId="53868E9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4.650 </w:t>
            </w:r>
          </w:p>
        </w:tc>
        <w:tc>
          <w:tcPr>
            <w:tcW w:w="411" w:type="pct"/>
            <w:gridSpan w:val="4"/>
            <w:tcBorders>
              <w:top w:val="single" w:sz="4" w:space="0" w:color="auto"/>
              <w:left w:val="nil"/>
              <w:bottom w:val="single" w:sz="4" w:space="0" w:color="auto"/>
              <w:right w:val="single" w:sz="4" w:space="0" w:color="auto"/>
            </w:tcBorders>
            <w:shd w:val="clear" w:color="auto" w:fill="auto"/>
            <w:noWrap/>
            <w:vAlign w:val="center"/>
            <w:hideMark/>
          </w:tcPr>
          <w:p w14:paraId="6C18493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2.216 </w:t>
            </w:r>
          </w:p>
        </w:tc>
        <w:tc>
          <w:tcPr>
            <w:tcW w:w="416" w:type="pct"/>
            <w:gridSpan w:val="4"/>
            <w:tcBorders>
              <w:top w:val="single" w:sz="4" w:space="0" w:color="auto"/>
              <w:left w:val="nil"/>
              <w:bottom w:val="single" w:sz="4" w:space="0" w:color="auto"/>
              <w:right w:val="single" w:sz="4" w:space="0" w:color="auto"/>
            </w:tcBorders>
            <w:shd w:val="clear" w:color="auto" w:fill="auto"/>
            <w:noWrap/>
            <w:vAlign w:val="center"/>
            <w:hideMark/>
          </w:tcPr>
          <w:p w14:paraId="7ABE6699"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D00EA2">
              <w:rPr>
                <w:rFonts w:cs="Times New Roman"/>
                <w:sz w:val="16"/>
                <w:szCs w:val="16"/>
              </w:rPr>
              <w:t>47,7</w:t>
            </w:r>
          </w:p>
        </w:tc>
        <w:tc>
          <w:tcPr>
            <w:tcW w:w="261" w:type="pct"/>
            <w:gridSpan w:val="3"/>
            <w:tcBorders>
              <w:top w:val="single" w:sz="4" w:space="0" w:color="auto"/>
              <w:left w:val="nil"/>
              <w:bottom w:val="single" w:sz="4" w:space="0" w:color="auto"/>
              <w:right w:val="single" w:sz="4" w:space="0" w:color="auto"/>
            </w:tcBorders>
            <w:shd w:val="clear" w:color="auto" w:fill="auto"/>
            <w:vAlign w:val="center"/>
          </w:tcPr>
          <w:p w14:paraId="7572F9AF" w14:textId="77777777" w:rsidR="00D00EA2" w:rsidRPr="00002E17"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19" w:right="-57"/>
              <w:jc w:val="right"/>
              <w:rPr>
                <w:rFonts w:eastAsia="Times New Roman" w:cs="Times New Roman"/>
                <w:color w:val="auto"/>
                <w:sz w:val="16"/>
                <w:szCs w:val="16"/>
                <w:bdr w:val="none" w:sz="0" w:space="0" w:color="auto"/>
                <w:lang w:val="en-GB" w:eastAsia="en-GB"/>
              </w:rPr>
            </w:pPr>
            <w:r w:rsidRPr="00002E17">
              <w:rPr>
                <w:rFonts w:cs="Times New Roman"/>
                <w:color w:val="auto"/>
                <w:sz w:val="16"/>
                <w:szCs w:val="16"/>
              </w:rPr>
              <w:t xml:space="preserve">-1.428 </w:t>
            </w:r>
          </w:p>
        </w:tc>
        <w:tc>
          <w:tcPr>
            <w:tcW w:w="407" w:type="pct"/>
            <w:gridSpan w:val="2"/>
            <w:tcBorders>
              <w:top w:val="single" w:sz="4" w:space="0" w:color="auto"/>
              <w:left w:val="nil"/>
              <w:bottom w:val="single" w:sz="4" w:space="0" w:color="auto"/>
              <w:right w:val="single" w:sz="4" w:space="0" w:color="auto"/>
            </w:tcBorders>
            <w:shd w:val="clear" w:color="auto" w:fill="auto"/>
            <w:vAlign w:val="center"/>
            <w:hideMark/>
          </w:tcPr>
          <w:p w14:paraId="56E1A363" w14:textId="77777777" w:rsidR="00D00EA2" w:rsidRPr="00002E17" w:rsidRDefault="00732F02" w:rsidP="00002E17">
            <w:pPr>
              <w:jc w:val="right"/>
              <w:rPr>
                <w:rFonts w:cs="Times New Roman"/>
                <w:color w:val="auto"/>
                <w:sz w:val="16"/>
                <w:szCs w:val="16"/>
              </w:rPr>
            </w:pPr>
            <w:r w:rsidRPr="00002E17">
              <w:rPr>
                <w:rFonts w:cs="Times New Roman"/>
                <w:color w:val="auto"/>
                <w:sz w:val="16"/>
                <w:szCs w:val="16"/>
              </w:rPr>
              <w:t xml:space="preserve">3.839 </w:t>
            </w:r>
          </w:p>
        </w:tc>
        <w:tc>
          <w:tcPr>
            <w:tcW w:w="199" w:type="pct"/>
            <w:gridSpan w:val="2"/>
            <w:tcBorders>
              <w:top w:val="single" w:sz="4" w:space="0" w:color="auto"/>
              <w:left w:val="nil"/>
              <w:bottom w:val="single" w:sz="4" w:space="0" w:color="auto"/>
            </w:tcBorders>
            <w:shd w:val="clear" w:color="auto" w:fill="auto"/>
            <w:vAlign w:val="center"/>
            <w:hideMark/>
          </w:tcPr>
          <w:p w14:paraId="2945EDB3" w14:textId="77777777" w:rsidR="00D00EA2" w:rsidRPr="00002E17"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eastAsia="Times New Roman" w:cs="Times New Roman"/>
                <w:color w:val="auto"/>
                <w:sz w:val="16"/>
                <w:szCs w:val="16"/>
                <w:bdr w:val="none" w:sz="0" w:space="0" w:color="auto"/>
                <w:lang w:val="en-GB" w:eastAsia="en-GB"/>
              </w:rPr>
            </w:pPr>
            <w:r w:rsidRPr="00002E17">
              <w:rPr>
                <w:rFonts w:cs="Times New Roman"/>
                <w:color w:val="auto"/>
                <w:sz w:val="16"/>
                <w:szCs w:val="16"/>
              </w:rPr>
              <w:t>50</w:t>
            </w:r>
          </w:p>
        </w:tc>
      </w:tr>
      <w:tr w:rsidR="00D00EA2" w:rsidRPr="00D00EA2" w14:paraId="4FC37A08"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hideMark/>
          </w:tcPr>
          <w:p w14:paraId="341CE88F"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8</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12805A"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2017-EU-TM-0062</w:t>
            </w:r>
          </w:p>
          <w:p w14:paraId="64D2E4B2"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9C5F01" w14:textId="77777777" w:rsidR="00D00EA2" w:rsidRPr="00B70F83" w:rsidRDefault="00D00EA2"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922A9B">
              <w:rPr>
                <w:rFonts w:eastAsia="Times New Roman" w:cs="Times New Roman"/>
                <w:color w:val="auto"/>
                <w:sz w:val="16"/>
                <w:szCs w:val="16"/>
                <w:bdr w:val="none" w:sz="0" w:space="0" w:color="auto"/>
                <w:lang w:eastAsia="en-GB"/>
              </w:rPr>
              <w:t>GAINN4MID-Realizzazione</w:t>
            </w:r>
            <w:r w:rsidR="002D4FDD">
              <w:rPr>
                <w:rFonts w:eastAsia="Times New Roman" w:cs="Times New Roman"/>
                <w:color w:val="auto"/>
                <w:sz w:val="16"/>
                <w:szCs w:val="16"/>
                <w:bdr w:val="none" w:sz="0" w:space="0" w:color="auto"/>
                <w:lang w:eastAsia="en-GB"/>
              </w:rPr>
              <w:t xml:space="preserve"> di 4 stazioni di rifornimento GNL/</w:t>
            </w:r>
            <w:r w:rsidRPr="00922A9B">
              <w:rPr>
                <w:rFonts w:eastAsia="Times New Roman" w:cs="Times New Roman"/>
                <w:color w:val="auto"/>
                <w:sz w:val="16"/>
                <w:szCs w:val="16"/>
                <w:bdr w:val="none" w:sz="0" w:space="0" w:color="auto"/>
                <w:lang w:eastAsia="en-GB"/>
              </w:rPr>
              <w:t>G</w:t>
            </w:r>
            <w:r w:rsidR="002D4FDD">
              <w:rPr>
                <w:rFonts w:eastAsia="Times New Roman" w:cs="Times New Roman"/>
                <w:color w:val="auto"/>
                <w:sz w:val="16"/>
                <w:szCs w:val="16"/>
                <w:bdr w:val="none" w:sz="0" w:space="0" w:color="auto"/>
                <w:lang w:eastAsia="en-GB"/>
              </w:rPr>
              <w:t>NC</w:t>
            </w:r>
            <w:r w:rsidRPr="00922A9B">
              <w:rPr>
                <w:rFonts w:eastAsia="Times New Roman" w:cs="Times New Roman"/>
                <w:color w:val="auto"/>
                <w:sz w:val="16"/>
                <w:szCs w:val="16"/>
                <w:bdr w:val="none" w:sz="0" w:space="0" w:color="auto"/>
                <w:lang w:eastAsia="en-GB"/>
              </w:rPr>
              <w:t xml:space="preserve"> in IT,1 terminal multimodale </w:t>
            </w:r>
            <w:r w:rsidR="002D4FDD">
              <w:rPr>
                <w:rFonts w:eastAsia="Times New Roman" w:cs="Times New Roman"/>
                <w:color w:val="auto"/>
                <w:sz w:val="16"/>
                <w:szCs w:val="16"/>
                <w:bdr w:val="none" w:sz="0" w:space="0" w:color="auto"/>
                <w:lang w:eastAsia="en-GB"/>
              </w:rPr>
              <w:t>GNL</w:t>
            </w:r>
            <w:r w:rsidRPr="00922A9B">
              <w:rPr>
                <w:rFonts w:eastAsia="Times New Roman" w:cs="Times New Roman"/>
                <w:color w:val="auto"/>
                <w:sz w:val="16"/>
                <w:szCs w:val="16"/>
                <w:bdr w:val="none" w:sz="0" w:space="0" w:color="auto"/>
                <w:lang w:eastAsia="en-GB"/>
              </w:rPr>
              <w:t xml:space="preserve"> e 1 bunker </w:t>
            </w:r>
            <w:r w:rsidR="002D4FDD">
              <w:rPr>
                <w:rFonts w:eastAsia="Times New Roman" w:cs="Times New Roman"/>
                <w:color w:val="auto"/>
                <w:sz w:val="16"/>
                <w:szCs w:val="16"/>
                <w:bdr w:val="none" w:sz="0" w:space="0" w:color="auto"/>
                <w:lang w:eastAsia="en-GB"/>
              </w:rPr>
              <w:t>GNL</w:t>
            </w:r>
            <w:r w:rsidRPr="00922A9B">
              <w:rPr>
                <w:rFonts w:eastAsia="Times New Roman" w:cs="Times New Roman"/>
                <w:color w:val="auto"/>
                <w:sz w:val="16"/>
                <w:szCs w:val="16"/>
                <w:bdr w:val="none" w:sz="0" w:space="0" w:color="auto"/>
                <w:lang w:eastAsia="en-GB"/>
              </w:rPr>
              <w:t xml:space="preserve"> per il rifornimento navi.</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EF550C6"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31/08/20</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8AA9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5.170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5944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958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6932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31.870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828D1"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6.165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2B81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310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DF05F"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eastAsia="Times New Roman" w:cs="Times New Roman"/>
                <w:color w:val="auto"/>
                <w:sz w:val="16"/>
                <w:szCs w:val="16"/>
                <w:bdr w:val="none" w:sz="0" w:space="0" w:color="auto"/>
                <w:lang w:val="en-GB" w:eastAsia="en-GB"/>
              </w:rPr>
            </w:pPr>
            <w:r w:rsidRPr="00D00EA2">
              <w:rPr>
                <w:rFonts w:cs="Times New Roman"/>
                <w:sz w:val="16"/>
                <w:szCs w:val="16"/>
              </w:rPr>
              <w:t>32,3</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5B636D" w14:textId="77777777" w:rsidR="00D00EA2" w:rsidRPr="00D00EA2" w:rsidRDefault="00D00EA2" w:rsidP="00002E17">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20A31" w14:textId="77777777" w:rsidR="00D00EA2" w:rsidRPr="00002E17" w:rsidRDefault="00891032" w:rsidP="00002E17">
            <w:pPr>
              <w:jc w:val="right"/>
              <w:rPr>
                <w:rFonts w:cs="Times New Roman"/>
                <w:color w:val="auto"/>
                <w:sz w:val="16"/>
                <w:szCs w:val="16"/>
              </w:rPr>
            </w:pPr>
            <w:r>
              <w:rPr>
                <w:rFonts w:cs="Times New Roman"/>
                <w:color w:val="auto"/>
                <w:sz w:val="16"/>
                <w:szCs w:val="16"/>
              </w:rPr>
              <w:t>312</w:t>
            </w:r>
            <w:r w:rsidR="00732F02" w:rsidRPr="00002E17">
              <w:rPr>
                <w:rFonts w:cs="Times New Roman"/>
                <w:color w:val="auto"/>
                <w:sz w:val="16"/>
                <w:szCs w:val="16"/>
              </w:rPr>
              <w:t xml:space="preserve"> </w:t>
            </w:r>
          </w:p>
        </w:tc>
        <w:tc>
          <w:tcPr>
            <w:tcW w:w="199" w:type="pct"/>
            <w:gridSpan w:val="2"/>
            <w:tcBorders>
              <w:top w:val="single" w:sz="4" w:space="0" w:color="auto"/>
              <w:left w:val="single" w:sz="4" w:space="0" w:color="auto"/>
              <w:bottom w:val="single" w:sz="4" w:space="0" w:color="auto"/>
            </w:tcBorders>
            <w:shd w:val="clear" w:color="auto" w:fill="auto"/>
            <w:vAlign w:val="center"/>
            <w:hideMark/>
          </w:tcPr>
          <w:p w14:paraId="5B4DB91D" w14:textId="77777777" w:rsidR="00D00EA2" w:rsidRPr="00002E17"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eastAsia="Times New Roman" w:cs="Times New Roman"/>
                <w:color w:val="auto"/>
                <w:sz w:val="16"/>
                <w:szCs w:val="16"/>
                <w:bdr w:val="none" w:sz="0" w:space="0" w:color="auto"/>
                <w:lang w:val="en-GB" w:eastAsia="en-GB"/>
              </w:rPr>
            </w:pPr>
            <w:r w:rsidRPr="00002E17">
              <w:rPr>
                <w:rFonts w:cs="Times New Roman"/>
                <w:color w:val="auto"/>
                <w:sz w:val="16"/>
                <w:szCs w:val="16"/>
              </w:rPr>
              <w:t>35</w:t>
            </w:r>
          </w:p>
        </w:tc>
      </w:tr>
      <w:tr w:rsidR="00D00EA2" w:rsidRPr="00D00EA2" w14:paraId="4602E082"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192D5F59"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9</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7CAF9605"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12" w:right="-106"/>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2017-IT-TM-0066</w:t>
            </w:r>
          </w:p>
          <w:p w14:paraId="771B42F6"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E4CF06" w14:textId="77777777" w:rsidR="00D00EA2" w:rsidRPr="00922A9B" w:rsidRDefault="00D00EA2"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310D3C">
              <w:rPr>
                <w:rFonts w:eastAsia="Times New Roman" w:cs="Times New Roman"/>
                <w:color w:val="auto"/>
                <w:sz w:val="16"/>
                <w:szCs w:val="16"/>
                <w:bdr w:val="none" w:sz="0" w:space="0" w:color="auto"/>
                <w:lang w:eastAsia="en-GB"/>
              </w:rPr>
              <w:t xml:space="preserve">GAINN4SEA - Implementazione di due nuove strutture </w:t>
            </w:r>
            <w:proofErr w:type="gramStart"/>
            <w:r w:rsidRPr="00310D3C">
              <w:rPr>
                <w:rFonts w:eastAsia="Times New Roman" w:cs="Times New Roman"/>
                <w:color w:val="auto"/>
                <w:sz w:val="16"/>
                <w:szCs w:val="16"/>
                <w:bdr w:val="none" w:sz="0" w:space="0" w:color="auto"/>
                <w:lang w:eastAsia="en-GB"/>
              </w:rPr>
              <w:t>multimodali  per</w:t>
            </w:r>
            <w:proofErr w:type="gramEnd"/>
            <w:r w:rsidRPr="00310D3C">
              <w:rPr>
                <w:rFonts w:eastAsia="Times New Roman" w:cs="Times New Roman"/>
                <w:color w:val="auto"/>
                <w:sz w:val="16"/>
                <w:szCs w:val="16"/>
                <w:bdr w:val="none" w:sz="0" w:space="0" w:color="auto"/>
                <w:lang w:eastAsia="en-GB"/>
              </w:rPr>
              <w:t xml:space="preserve"> lo stoccaggio di </w:t>
            </w:r>
            <w:r w:rsidR="002D4FDD">
              <w:rPr>
                <w:rFonts w:eastAsia="Times New Roman" w:cs="Times New Roman"/>
                <w:color w:val="auto"/>
                <w:sz w:val="16"/>
                <w:szCs w:val="16"/>
                <w:bdr w:val="none" w:sz="0" w:space="0" w:color="auto"/>
                <w:lang w:eastAsia="en-GB"/>
              </w:rPr>
              <w:t>GNL</w:t>
            </w:r>
            <w:r w:rsidRPr="00310D3C">
              <w:rPr>
                <w:rFonts w:eastAsia="Times New Roman" w:cs="Times New Roman"/>
                <w:color w:val="auto"/>
                <w:sz w:val="16"/>
                <w:szCs w:val="16"/>
                <w:bdr w:val="none" w:sz="0" w:space="0" w:color="auto"/>
                <w:lang w:eastAsia="en-GB"/>
              </w:rPr>
              <w:t xml:space="preserve"> nei porti di Venezia e Livorno.</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43E71C87"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30/04/22</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3E50E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77.729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5B3141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14.331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216DCE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77.729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2261B6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14.331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AF63E2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39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3BBEC35"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0,3</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619F5E"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2BCB7E" w14:textId="77777777" w:rsidR="00D00EA2" w:rsidRPr="00002E17"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002E17">
              <w:rPr>
                <w:rFonts w:cs="Times New Roman"/>
                <w:color w:val="auto"/>
                <w:sz w:val="16"/>
                <w:szCs w:val="16"/>
              </w:rPr>
              <w:t xml:space="preserve"> 104 </w:t>
            </w:r>
          </w:p>
        </w:tc>
        <w:tc>
          <w:tcPr>
            <w:tcW w:w="199" w:type="pct"/>
            <w:gridSpan w:val="2"/>
            <w:tcBorders>
              <w:top w:val="single" w:sz="4" w:space="0" w:color="auto"/>
              <w:left w:val="single" w:sz="4" w:space="0" w:color="auto"/>
              <w:bottom w:val="single" w:sz="4" w:space="0" w:color="auto"/>
            </w:tcBorders>
            <w:shd w:val="clear" w:color="auto" w:fill="auto"/>
            <w:vAlign w:val="center"/>
          </w:tcPr>
          <w:p w14:paraId="7A2A5B70" w14:textId="77777777" w:rsidR="00D00EA2" w:rsidRPr="00002E17"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color w:val="auto"/>
                <w:sz w:val="16"/>
                <w:szCs w:val="16"/>
              </w:rPr>
            </w:pPr>
            <w:proofErr w:type="spellStart"/>
            <w:r w:rsidRPr="00002E17">
              <w:rPr>
                <w:rFonts w:cs="Times New Roman"/>
                <w:color w:val="auto"/>
                <w:sz w:val="16"/>
                <w:szCs w:val="16"/>
              </w:rPr>
              <w:t>n.d.</w:t>
            </w:r>
            <w:proofErr w:type="spellEnd"/>
          </w:p>
        </w:tc>
      </w:tr>
      <w:tr w:rsidR="00D00EA2" w:rsidRPr="00D00EA2" w14:paraId="62213549"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776BA8C6"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10</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7836B40E"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2017-IT-TM-0154</w:t>
            </w:r>
          </w:p>
          <w:p w14:paraId="65A66E4D"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-W</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E26B7F" w14:textId="77777777" w:rsidR="00D00EA2" w:rsidRPr="00922A9B" w:rsidRDefault="00D00EA2" w:rsidP="002D4FDD">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VENICE LNG -</w:t>
            </w:r>
            <w:r w:rsidRPr="00922A9B">
              <w:rPr>
                <w:rFonts w:eastAsia="Times New Roman" w:cs="Times New Roman"/>
                <w:color w:val="auto"/>
                <w:sz w:val="16"/>
                <w:szCs w:val="16"/>
                <w:bdr w:val="none" w:sz="0" w:space="0" w:color="auto"/>
                <w:lang w:eastAsia="en-GB"/>
              </w:rPr>
              <w:t xml:space="preserve">Impianto multimodale di combustibile alternativo </w:t>
            </w:r>
            <w:r w:rsidR="002D4FDD">
              <w:rPr>
                <w:rFonts w:eastAsia="Times New Roman" w:cs="Times New Roman"/>
                <w:color w:val="auto"/>
                <w:sz w:val="16"/>
                <w:szCs w:val="16"/>
                <w:bdr w:val="none" w:sz="0" w:space="0" w:color="auto"/>
                <w:lang w:eastAsia="en-GB"/>
              </w:rPr>
              <w:t>GNL</w:t>
            </w:r>
            <w:r w:rsidRPr="00922A9B">
              <w:rPr>
                <w:rFonts w:eastAsia="Times New Roman" w:cs="Times New Roman"/>
                <w:color w:val="auto"/>
                <w:sz w:val="16"/>
                <w:szCs w:val="16"/>
                <w:bdr w:val="none" w:sz="0" w:space="0" w:color="auto"/>
                <w:lang w:eastAsia="en-GB"/>
              </w:rPr>
              <w:t xml:space="preserve"> nell'area di Venezia</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5542B3B6"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sidRPr="00922A9B">
              <w:rPr>
                <w:rFonts w:eastAsia="Times New Roman" w:cs="Times New Roman"/>
                <w:color w:val="auto"/>
                <w:sz w:val="16"/>
                <w:szCs w:val="16"/>
                <w:bdr w:val="none" w:sz="0" w:space="0" w:color="auto"/>
                <w:lang w:val="en-GB" w:eastAsia="en-GB"/>
              </w:rPr>
              <w:t>30/09/22</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F53F61"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60.718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D8D6C8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12.144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588DC9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60.718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E83887E"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12.144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717F20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54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CAC2553"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0,4</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20988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882F6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val="en-GB" w:eastAsia="en-GB"/>
              </w:rPr>
            </w:pPr>
            <w:r w:rsidRPr="00D00EA2">
              <w:rPr>
                <w:rFonts w:cs="Times New Roman"/>
                <w:sz w:val="16"/>
                <w:szCs w:val="16"/>
              </w:rPr>
              <w:t xml:space="preserve"> 211 </w:t>
            </w:r>
          </w:p>
        </w:tc>
        <w:tc>
          <w:tcPr>
            <w:tcW w:w="199" w:type="pct"/>
            <w:gridSpan w:val="2"/>
            <w:tcBorders>
              <w:top w:val="single" w:sz="4" w:space="0" w:color="auto"/>
              <w:left w:val="single" w:sz="4" w:space="0" w:color="auto"/>
              <w:bottom w:val="single" w:sz="4" w:space="0" w:color="auto"/>
            </w:tcBorders>
            <w:shd w:val="clear" w:color="auto" w:fill="auto"/>
            <w:vAlign w:val="center"/>
          </w:tcPr>
          <w:p w14:paraId="57909E99"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4</w:t>
            </w:r>
          </w:p>
        </w:tc>
      </w:tr>
      <w:tr w:rsidR="00D00EA2" w:rsidRPr="00D00EA2" w14:paraId="1FB8F95F"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2F062C54" w14:textId="77777777" w:rsidR="00D00EA2" w:rsidRPr="00922A9B" w:rsidDel="00C932AF"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11</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1ADF6131" w14:textId="77777777" w:rsidR="00D00EA2" w:rsidRPr="00922A9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2018-EU-TM-0077</w:t>
            </w:r>
            <w:r w:rsidR="0044209F">
              <w:rPr>
                <w:rFonts w:eastAsia="Times New Roman" w:cs="Times New Roman"/>
                <w:color w:val="auto"/>
                <w:sz w:val="16"/>
                <w:szCs w:val="16"/>
                <w:bdr w:val="none" w:sz="0" w:space="0" w:color="auto"/>
                <w:lang w:val="en-GB" w:eastAsia="en-GB"/>
              </w:rPr>
              <w:t xml:space="preserve">   </w:t>
            </w:r>
            <w:r>
              <w:rPr>
                <w:rFonts w:eastAsia="Times New Roman" w:cs="Times New Roman"/>
                <w:color w:val="auto"/>
                <w:sz w:val="16"/>
                <w:szCs w:val="16"/>
                <w:bdr w:val="none" w:sz="0" w:space="0" w:color="auto"/>
                <w:lang w:val="en-GB"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A06401"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5B4D2C">
              <w:rPr>
                <w:rFonts w:eastAsia="Times New Roman" w:cs="Times New Roman"/>
                <w:color w:val="auto"/>
                <w:sz w:val="16"/>
                <w:szCs w:val="16"/>
                <w:bdr w:val="none" w:sz="0" w:space="0" w:color="auto"/>
                <w:lang w:eastAsia="en-GB"/>
              </w:rPr>
              <w:t>FENIX - Rete europea federata di scambio di informazioni della logistica</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52292D9D"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31/03/22</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0C7C32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20.747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A97080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10.374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F1B283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60.863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FE1B61D"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30.307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1148055"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A8BF1DA"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0,0</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CA2225"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8CB92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1.769 </w:t>
            </w:r>
          </w:p>
        </w:tc>
        <w:tc>
          <w:tcPr>
            <w:tcW w:w="199" w:type="pct"/>
            <w:gridSpan w:val="2"/>
            <w:tcBorders>
              <w:top w:val="single" w:sz="4" w:space="0" w:color="auto"/>
              <w:left w:val="single" w:sz="4" w:space="0" w:color="auto"/>
              <w:bottom w:val="single" w:sz="4" w:space="0" w:color="auto"/>
            </w:tcBorders>
            <w:shd w:val="clear" w:color="auto" w:fill="auto"/>
            <w:vAlign w:val="center"/>
          </w:tcPr>
          <w:p w14:paraId="0FA74970"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15</w:t>
            </w:r>
          </w:p>
        </w:tc>
      </w:tr>
      <w:tr w:rsidR="00D00EA2" w:rsidRPr="00D00EA2" w14:paraId="29B67878" w14:textId="77777777" w:rsidTr="00C56F61">
        <w:trPr>
          <w:trHeight w:val="570"/>
        </w:trPr>
        <w:tc>
          <w:tcPr>
            <w:tcW w:w="230" w:type="pct"/>
            <w:tcBorders>
              <w:top w:val="single" w:sz="4" w:space="0" w:color="auto"/>
              <w:left w:val="nil"/>
              <w:bottom w:val="single" w:sz="4" w:space="0" w:color="auto"/>
              <w:right w:val="single" w:sz="4" w:space="0" w:color="auto"/>
            </w:tcBorders>
            <w:shd w:val="clear" w:color="auto" w:fill="auto"/>
            <w:noWrap/>
            <w:vAlign w:val="center"/>
          </w:tcPr>
          <w:p w14:paraId="16438762"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12</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37AD7439"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val="en-GB" w:eastAsia="en-GB"/>
              </w:rPr>
            </w:pPr>
            <w:r>
              <w:rPr>
                <w:rFonts w:eastAsia="Times New Roman" w:cs="Times New Roman"/>
                <w:color w:val="auto"/>
                <w:sz w:val="16"/>
                <w:szCs w:val="16"/>
                <w:bdr w:val="none" w:sz="0" w:space="0" w:color="auto"/>
                <w:lang w:val="en-GB" w:eastAsia="en-GB"/>
              </w:rPr>
              <w:t>2018-EU-TM-0119</w:t>
            </w:r>
            <w:r w:rsidR="0044209F">
              <w:rPr>
                <w:rFonts w:eastAsia="Times New Roman" w:cs="Times New Roman"/>
                <w:color w:val="auto"/>
                <w:sz w:val="16"/>
                <w:szCs w:val="16"/>
                <w:bdr w:val="none" w:sz="0" w:space="0" w:color="auto"/>
                <w:lang w:val="en-GB" w:eastAsia="en-GB"/>
              </w:rPr>
              <w:t xml:space="preserve">   </w:t>
            </w:r>
            <w:r>
              <w:rPr>
                <w:rFonts w:eastAsia="Times New Roman" w:cs="Times New Roman"/>
                <w:color w:val="auto"/>
                <w:sz w:val="16"/>
                <w:szCs w:val="16"/>
                <w:bdr w:val="none" w:sz="0" w:space="0" w:color="auto"/>
                <w:lang w:val="en-GB"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507C56" w14:textId="77777777" w:rsidR="00D00EA2" w:rsidRPr="005B4D2C"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proofErr w:type="spellStart"/>
            <w:r w:rsidRPr="00D002B0">
              <w:rPr>
                <w:rFonts w:eastAsia="Times New Roman" w:cs="Times New Roman"/>
                <w:color w:val="auto"/>
                <w:sz w:val="16"/>
                <w:szCs w:val="16"/>
                <w:bdr w:val="none" w:sz="0" w:space="0" w:color="auto"/>
                <w:lang w:eastAsia="en-GB"/>
              </w:rPr>
              <w:t>FEDeRATED</w:t>
            </w:r>
            <w:proofErr w:type="spellEnd"/>
            <w:proofErr w:type="gramStart"/>
            <w:r w:rsidRPr="00D002B0">
              <w:rPr>
                <w:rFonts w:eastAsia="Times New Roman" w:cs="Times New Roman"/>
                <w:color w:val="auto"/>
                <w:sz w:val="16"/>
                <w:szCs w:val="16"/>
                <w:bdr w:val="none" w:sz="0" w:space="0" w:color="auto"/>
                <w:lang w:eastAsia="en-GB"/>
              </w:rPr>
              <w:t>-  Fattibilità</w:t>
            </w:r>
            <w:proofErr w:type="gramEnd"/>
            <w:r w:rsidRPr="00D002B0">
              <w:rPr>
                <w:rFonts w:eastAsia="Times New Roman" w:cs="Times New Roman"/>
                <w:color w:val="auto"/>
                <w:sz w:val="16"/>
                <w:szCs w:val="16"/>
                <w:bdr w:val="none" w:sz="0" w:space="0" w:color="auto"/>
                <w:lang w:eastAsia="en-GB"/>
              </w:rPr>
              <w:t xml:space="preserve"> e  validazione di una rete </w:t>
            </w:r>
            <w:r w:rsidRPr="00D002B0">
              <w:rPr>
                <w:rFonts w:eastAsia="Times New Roman" w:cs="Times New Roman"/>
                <w:color w:val="auto"/>
                <w:sz w:val="16"/>
                <w:szCs w:val="16"/>
                <w:bdr w:val="none" w:sz="0" w:space="0" w:color="auto"/>
                <w:lang w:eastAsia="en-GB"/>
              </w:rPr>
              <w:lastRenderedPageBreak/>
              <w:t>federativa di piattaforme per lo scambio e la condivisione di dati B2A (</w:t>
            </w:r>
            <w:r w:rsidRPr="00C56F61">
              <w:rPr>
                <w:rFonts w:eastAsia="Times New Roman" w:cs="Times New Roman"/>
                <w:i/>
                <w:color w:val="auto"/>
                <w:sz w:val="16"/>
                <w:szCs w:val="16"/>
                <w:bdr w:val="none" w:sz="0" w:space="0" w:color="auto"/>
                <w:lang w:eastAsia="en-GB"/>
              </w:rPr>
              <w:t xml:space="preserve">business to </w:t>
            </w:r>
            <w:proofErr w:type="spellStart"/>
            <w:r w:rsidRPr="00C56F61">
              <w:rPr>
                <w:rFonts w:eastAsia="Times New Roman" w:cs="Times New Roman"/>
                <w:i/>
                <w:color w:val="auto"/>
                <w:sz w:val="16"/>
                <w:szCs w:val="16"/>
                <w:bdr w:val="none" w:sz="0" w:space="0" w:color="auto"/>
                <w:lang w:eastAsia="en-GB"/>
              </w:rPr>
              <w:t>anyone</w:t>
            </w:r>
            <w:proofErr w:type="spellEnd"/>
            <w:r w:rsidRPr="00D002B0">
              <w:rPr>
                <w:rFonts w:eastAsia="Times New Roman" w:cs="Times New Roman"/>
                <w:color w:val="auto"/>
                <w:sz w:val="16"/>
                <w:szCs w:val="16"/>
                <w:bdr w:val="none" w:sz="0" w:space="0" w:color="auto"/>
                <w:lang w:eastAsia="en-GB"/>
              </w:rPr>
              <w:t>) e B2B (business to business) tra operatori dei trasporti e della logistica, lungo i corridoi della Rete TEN-T.</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EBEA99C"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lastRenderedPageBreak/>
              <w:t>29/12/23</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7DB29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3.370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83A356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1.685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C20BB9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25.302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EC968A5"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12.651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C06526"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116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2F52929"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6,9</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38F93D"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E6FD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417 </w:t>
            </w:r>
          </w:p>
        </w:tc>
        <w:tc>
          <w:tcPr>
            <w:tcW w:w="199" w:type="pct"/>
            <w:gridSpan w:val="2"/>
            <w:tcBorders>
              <w:top w:val="single" w:sz="4" w:space="0" w:color="auto"/>
              <w:left w:val="single" w:sz="4" w:space="0" w:color="auto"/>
              <w:bottom w:val="single" w:sz="4" w:space="0" w:color="auto"/>
            </w:tcBorders>
            <w:shd w:val="clear" w:color="auto" w:fill="auto"/>
            <w:vAlign w:val="center"/>
          </w:tcPr>
          <w:p w14:paraId="6AD5DE1A"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10</w:t>
            </w:r>
          </w:p>
        </w:tc>
      </w:tr>
      <w:tr w:rsidR="00D00EA2" w:rsidRPr="00D00EA2" w14:paraId="026058F8"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58385228" w14:textId="77777777" w:rsidR="00D00EA2" w:rsidRPr="002E17CB" w:rsidDel="00C932AF"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13</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03B4BC13"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2018-IT-TM-0032</w:t>
            </w:r>
            <w:r w:rsidR="0044209F">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9FDBD3"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proofErr w:type="spellStart"/>
            <w:r w:rsidRPr="002B2CA0">
              <w:rPr>
                <w:rFonts w:eastAsia="Times New Roman" w:cs="Times New Roman"/>
                <w:color w:val="auto"/>
                <w:sz w:val="16"/>
                <w:szCs w:val="16"/>
                <w:bdr w:val="none" w:sz="0" w:space="0" w:color="auto"/>
                <w:lang w:eastAsia="en-GB"/>
              </w:rPr>
              <w:t>InGE</w:t>
            </w:r>
            <w:proofErr w:type="spellEnd"/>
            <w:r w:rsidRPr="002B2CA0">
              <w:rPr>
                <w:rFonts w:eastAsia="Times New Roman" w:cs="Times New Roman"/>
                <w:color w:val="auto"/>
                <w:sz w:val="16"/>
                <w:szCs w:val="16"/>
                <w:bdr w:val="none" w:sz="0" w:space="0" w:color="auto"/>
                <w:lang w:eastAsia="en-GB"/>
              </w:rPr>
              <w:t xml:space="preserve"> - </w:t>
            </w:r>
            <w:r>
              <w:rPr>
                <w:rFonts w:eastAsia="Times New Roman" w:cs="Times New Roman"/>
                <w:color w:val="auto"/>
                <w:sz w:val="16"/>
                <w:szCs w:val="16"/>
                <w:bdr w:val="none" w:sz="0" w:space="0" w:color="auto"/>
                <w:lang w:eastAsia="en-GB"/>
              </w:rPr>
              <w:t>R</w:t>
            </w:r>
            <w:r w:rsidRPr="002B2CA0">
              <w:rPr>
                <w:rFonts w:eastAsia="Times New Roman" w:cs="Times New Roman"/>
                <w:color w:val="auto"/>
                <w:sz w:val="16"/>
                <w:szCs w:val="16"/>
                <w:bdr w:val="none" w:sz="0" w:space="0" w:color="auto"/>
                <w:lang w:eastAsia="en-GB"/>
              </w:rPr>
              <w:t>ealizzazione di un nuovo collegamento ferroviario tra l’aeroporto di Genova e l'area della collina Erzelli attraverso l'individuazione di soluzioni ICT innovative.</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5AC10CF6"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31/12/21</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1B1501"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1.402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901A6D3"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701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F69AFD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1.402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48C888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701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E5D80D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280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423EED3"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40,0</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8DFC21"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E51E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118 </w:t>
            </w:r>
          </w:p>
        </w:tc>
        <w:tc>
          <w:tcPr>
            <w:tcW w:w="199" w:type="pct"/>
            <w:gridSpan w:val="2"/>
            <w:tcBorders>
              <w:top w:val="single" w:sz="4" w:space="0" w:color="auto"/>
              <w:left w:val="single" w:sz="4" w:space="0" w:color="auto"/>
              <w:bottom w:val="single" w:sz="4" w:space="0" w:color="auto"/>
            </w:tcBorders>
            <w:shd w:val="clear" w:color="auto" w:fill="auto"/>
            <w:vAlign w:val="center"/>
          </w:tcPr>
          <w:p w14:paraId="53691BE7"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10</w:t>
            </w:r>
          </w:p>
        </w:tc>
      </w:tr>
      <w:tr w:rsidR="00D00EA2" w:rsidRPr="00D00EA2" w14:paraId="7D2DB713" w14:textId="77777777" w:rsidTr="00C56F61">
        <w:trPr>
          <w:trHeight w:val="409"/>
        </w:trPr>
        <w:tc>
          <w:tcPr>
            <w:tcW w:w="230" w:type="pct"/>
            <w:tcBorders>
              <w:top w:val="single" w:sz="4" w:space="0" w:color="auto"/>
              <w:left w:val="nil"/>
              <w:bottom w:val="single" w:sz="4" w:space="0" w:color="auto"/>
              <w:right w:val="single" w:sz="4" w:space="0" w:color="auto"/>
            </w:tcBorders>
            <w:shd w:val="clear" w:color="auto" w:fill="auto"/>
            <w:noWrap/>
            <w:vAlign w:val="center"/>
          </w:tcPr>
          <w:p w14:paraId="4541D2B9" w14:textId="77777777" w:rsidR="00D00EA2" w:rsidRPr="002E17CB" w:rsidDel="00C932AF"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14</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093DD8A2"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2018-IT-TM-0045</w:t>
            </w:r>
            <w:r w:rsidR="0044209F">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AC65AB"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DD5643">
              <w:rPr>
                <w:rFonts w:eastAsia="Times New Roman" w:cs="Times New Roman"/>
                <w:color w:val="auto"/>
                <w:sz w:val="16"/>
                <w:szCs w:val="16"/>
                <w:bdr w:val="none" w:sz="0" w:space="0" w:color="auto"/>
                <w:lang w:eastAsia="en-GB"/>
              </w:rPr>
              <w:t>INTERFACE- Ammoderna</w:t>
            </w:r>
            <w:r w:rsidR="00C56F61">
              <w:rPr>
                <w:rFonts w:eastAsia="Times New Roman" w:cs="Times New Roman"/>
                <w:color w:val="auto"/>
                <w:sz w:val="16"/>
                <w:szCs w:val="16"/>
                <w:bdr w:val="none" w:sz="0" w:space="0" w:color="auto"/>
                <w:lang w:eastAsia="en-GB"/>
              </w:rPr>
              <w:t>-</w:t>
            </w:r>
            <w:r w:rsidRPr="00DD5643">
              <w:rPr>
                <w:rFonts w:eastAsia="Times New Roman" w:cs="Times New Roman"/>
                <w:color w:val="auto"/>
                <w:sz w:val="16"/>
                <w:szCs w:val="16"/>
                <w:bdr w:val="none" w:sz="0" w:space="0" w:color="auto"/>
                <w:lang w:eastAsia="en-GB"/>
              </w:rPr>
              <w:t>mento delle aree del porto commerciale di Palermo dedicate al traffico Ro-Ro e dell'interfaccia porto-città.</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04C5080C"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31/12/20</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D26D4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1.485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4B824F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742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76F43E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1.485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28D5195"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742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27F985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297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404524B"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40,0</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D5D77E"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8EB38"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305 </w:t>
            </w:r>
          </w:p>
        </w:tc>
        <w:tc>
          <w:tcPr>
            <w:tcW w:w="199" w:type="pct"/>
            <w:gridSpan w:val="2"/>
            <w:tcBorders>
              <w:top w:val="single" w:sz="4" w:space="0" w:color="auto"/>
              <w:left w:val="single" w:sz="4" w:space="0" w:color="auto"/>
              <w:bottom w:val="single" w:sz="4" w:space="0" w:color="auto"/>
            </w:tcBorders>
            <w:shd w:val="clear" w:color="auto" w:fill="auto"/>
            <w:vAlign w:val="center"/>
          </w:tcPr>
          <w:p w14:paraId="13249325"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21</w:t>
            </w:r>
          </w:p>
        </w:tc>
      </w:tr>
      <w:tr w:rsidR="00D00EA2" w:rsidRPr="00D00EA2" w14:paraId="3632F0BD"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5DD53C6D" w14:textId="77777777" w:rsidR="00D00EA2" w:rsidRPr="002E17CB" w:rsidDel="00C932AF"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15</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587C0A6C"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2018-IT-TM-0057</w:t>
            </w:r>
            <w:r w:rsidR="0044209F">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A8AF7F"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16"/>
                <w:szCs w:val="16"/>
                <w:bdr w:val="none" w:sz="0" w:space="0" w:color="auto"/>
                <w:lang w:eastAsia="en-GB"/>
              </w:rPr>
            </w:pPr>
            <w:r w:rsidRPr="00DF3E1B">
              <w:rPr>
                <w:rFonts w:eastAsia="Times New Roman" w:cs="Times New Roman"/>
                <w:color w:val="auto"/>
                <w:sz w:val="16"/>
                <w:szCs w:val="16"/>
                <w:bdr w:val="none" w:sz="0" w:space="0" w:color="auto"/>
                <w:lang w:eastAsia="en-GB"/>
              </w:rPr>
              <w:t xml:space="preserve">Veneto </w:t>
            </w:r>
            <w:proofErr w:type="spellStart"/>
            <w:r w:rsidRPr="00DF3E1B">
              <w:rPr>
                <w:rFonts w:eastAsia="Times New Roman" w:cs="Times New Roman"/>
                <w:color w:val="auto"/>
                <w:sz w:val="16"/>
                <w:szCs w:val="16"/>
                <w:bdr w:val="none" w:sz="0" w:space="0" w:color="auto"/>
                <w:lang w:eastAsia="en-GB"/>
              </w:rPr>
              <w:t>Region</w:t>
            </w:r>
            <w:proofErr w:type="spellEnd"/>
            <w:r w:rsidRPr="00DF3E1B">
              <w:rPr>
                <w:rFonts w:eastAsia="Times New Roman" w:cs="Times New Roman"/>
                <w:color w:val="auto"/>
                <w:sz w:val="16"/>
                <w:szCs w:val="16"/>
                <w:bdr w:val="none" w:sz="0" w:space="0" w:color="auto"/>
                <w:lang w:eastAsia="en-GB"/>
              </w:rPr>
              <w:t xml:space="preserve"> </w:t>
            </w:r>
            <w:proofErr w:type="spellStart"/>
            <w:r w:rsidRPr="00DF3E1B">
              <w:rPr>
                <w:rFonts w:eastAsia="Times New Roman" w:cs="Times New Roman"/>
                <w:color w:val="auto"/>
                <w:sz w:val="16"/>
                <w:szCs w:val="16"/>
                <w:bdr w:val="none" w:sz="0" w:space="0" w:color="auto"/>
                <w:lang w:eastAsia="en-GB"/>
              </w:rPr>
              <w:t>coordinated</w:t>
            </w:r>
            <w:proofErr w:type="spellEnd"/>
            <w:r w:rsidRPr="00DF3E1B">
              <w:rPr>
                <w:rFonts w:eastAsia="Times New Roman" w:cs="Times New Roman"/>
                <w:color w:val="auto"/>
                <w:sz w:val="16"/>
                <w:szCs w:val="16"/>
                <w:bdr w:val="none" w:sz="0" w:space="0" w:color="auto"/>
                <w:lang w:eastAsia="en-GB"/>
              </w:rPr>
              <w:t xml:space="preserve"> </w:t>
            </w:r>
            <w:proofErr w:type="spellStart"/>
            <w:r w:rsidRPr="00DF3E1B">
              <w:rPr>
                <w:rFonts w:eastAsia="Times New Roman" w:cs="Times New Roman"/>
                <w:color w:val="auto"/>
                <w:sz w:val="16"/>
                <w:szCs w:val="16"/>
                <w:bdr w:val="none" w:sz="0" w:space="0" w:color="auto"/>
                <w:lang w:eastAsia="en-GB"/>
              </w:rPr>
              <w:t>initiative</w:t>
            </w:r>
            <w:proofErr w:type="spellEnd"/>
            <w:r w:rsidRPr="00DF3E1B">
              <w:rPr>
                <w:rFonts w:eastAsia="Times New Roman" w:cs="Times New Roman"/>
                <w:color w:val="auto"/>
                <w:sz w:val="16"/>
                <w:szCs w:val="16"/>
                <w:bdr w:val="none" w:sz="0" w:space="0" w:color="auto"/>
                <w:lang w:eastAsia="en-GB"/>
              </w:rPr>
              <w:t xml:space="preserve"> </w:t>
            </w:r>
            <w:proofErr w:type="spellStart"/>
            <w:r w:rsidRPr="00DF3E1B">
              <w:rPr>
                <w:rFonts w:eastAsia="Times New Roman" w:cs="Times New Roman"/>
                <w:color w:val="auto"/>
                <w:sz w:val="16"/>
                <w:szCs w:val="16"/>
                <w:bdr w:val="none" w:sz="0" w:space="0" w:color="auto"/>
                <w:lang w:eastAsia="en-GB"/>
              </w:rPr>
              <w:t>enhancing</w:t>
            </w:r>
            <w:proofErr w:type="spellEnd"/>
            <w:r w:rsidRPr="00DF3E1B">
              <w:rPr>
                <w:rFonts w:eastAsia="Times New Roman" w:cs="Times New Roman"/>
                <w:color w:val="auto"/>
                <w:sz w:val="16"/>
                <w:szCs w:val="16"/>
                <w:bdr w:val="none" w:sz="0" w:space="0" w:color="auto"/>
                <w:lang w:eastAsia="en-GB"/>
              </w:rPr>
              <w:t xml:space="preserve"> Core </w:t>
            </w:r>
            <w:proofErr w:type="spellStart"/>
            <w:r w:rsidRPr="00DF3E1B">
              <w:rPr>
                <w:rFonts w:eastAsia="Times New Roman" w:cs="Times New Roman"/>
                <w:color w:val="auto"/>
                <w:sz w:val="16"/>
                <w:szCs w:val="16"/>
                <w:bdr w:val="none" w:sz="0" w:space="0" w:color="auto"/>
                <w:lang w:eastAsia="en-GB"/>
              </w:rPr>
              <w:t>intermodal</w:t>
            </w:r>
            <w:proofErr w:type="spellEnd"/>
            <w:r w:rsidRPr="00DF3E1B">
              <w:rPr>
                <w:rFonts w:eastAsia="Times New Roman" w:cs="Times New Roman"/>
                <w:color w:val="auto"/>
                <w:sz w:val="16"/>
                <w:szCs w:val="16"/>
                <w:bdr w:val="none" w:sz="0" w:space="0" w:color="auto"/>
                <w:lang w:eastAsia="en-GB"/>
              </w:rPr>
              <w:t xml:space="preserve"> </w:t>
            </w:r>
            <w:proofErr w:type="spellStart"/>
            <w:r w:rsidRPr="00DF3E1B">
              <w:rPr>
                <w:rFonts w:eastAsia="Times New Roman" w:cs="Times New Roman"/>
                <w:color w:val="auto"/>
                <w:sz w:val="16"/>
                <w:szCs w:val="16"/>
                <w:bdr w:val="none" w:sz="0" w:space="0" w:color="auto"/>
                <w:lang w:eastAsia="en-GB"/>
              </w:rPr>
              <w:t>nodes</w:t>
            </w:r>
            <w:proofErr w:type="spellEnd"/>
            <w:r w:rsidRPr="00DF3E1B">
              <w:rPr>
                <w:rFonts w:eastAsia="Times New Roman" w:cs="Times New Roman"/>
                <w:color w:val="auto"/>
                <w:sz w:val="16"/>
                <w:szCs w:val="16"/>
                <w:bdr w:val="none" w:sz="0" w:space="0" w:color="auto"/>
                <w:lang w:eastAsia="en-GB"/>
              </w:rPr>
              <w:t xml:space="preserve"> - Iniziativa coordinata per il potenziamento dei nodi intermodali di base della regione Veneto (VR-PD-VE)</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476161F2"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31/10/21</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F74D56"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4.033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35EE6F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2.016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ACE410E"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4.033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5A294F3"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2.016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938E01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456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5FA3DA2"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22,6</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1B30D0"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2C87E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228 </w:t>
            </w:r>
          </w:p>
        </w:tc>
        <w:tc>
          <w:tcPr>
            <w:tcW w:w="199" w:type="pct"/>
            <w:gridSpan w:val="2"/>
            <w:tcBorders>
              <w:top w:val="single" w:sz="4" w:space="0" w:color="auto"/>
              <w:left w:val="single" w:sz="4" w:space="0" w:color="auto"/>
              <w:bottom w:val="single" w:sz="4" w:space="0" w:color="auto"/>
            </w:tcBorders>
            <w:shd w:val="clear" w:color="auto" w:fill="auto"/>
            <w:vAlign w:val="center"/>
          </w:tcPr>
          <w:p w14:paraId="3966C226"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79" w:right="-15"/>
              <w:jc w:val="center"/>
              <w:rPr>
                <w:rFonts w:cs="Times New Roman"/>
                <w:sz w:val="16"/>
                <w:szCs w:val="16"/>
              </w:rPr>
            </w:pPr>
            <w:r>
              <w:rPr>
                <w:rFonts w:cs="Times New Roman"/>
                <w:sz w:val="16"/>
                <w:szCs w:val="16"/>
              </w:rPr>
              <w:t>13</w:t>
            </w:r>
          </w:p>
        </w:tc>
      </w:tr>
      <w:tr w:rsidR="00D00EA2" w:rsidRPr="00D00EA2" w14:paraId="0B37E269"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5B4A60B2" w14:textId="77777777" w:rsidR="00D00EA2" w:rsidRPr="002E17CB" w:rsidDel="00C932AF"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16</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4F6C64EE"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2018-IT-TM-0118</w:t>
            </w:r>
            <w:r w:rsidR="0044209F">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68D741" w14:textId="77777777" w:rsid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CB21CB">
              <w:rPr>
                <w:rFonts w:eastAsia="Times New Roman" w:cs="Times New Roman"/>
                <w:color w:val="auto"/>
                <w:sz w:val="16"/>
                <w:szCs w:val="16"/>
                <w:bdr w:val="none" w:sz="0" w:space="0" w:color="auto"/>
                <w:lang w:eastAsia="en-GB"/>
              </w:rPr>
              <w:t xml:space="preserve">Progettazione </w:t>
            </w:r>
            <w:r w:rsidRPr="00B8561E">
              <w:rPr>
                <w:rFonts w:eastAsia="Times New Roman" w:cs="Times New Roman"/>
                <w:color w:val="auto"/>
                <w:sz w:val="16"/>
                <w:szCs w:val="16"/>
                <w:bdr w:val="none" w:sz="0" w:space="0" w:color="auto"/>
                <w:lang w:eastAsia="en-GB"/>
              </w:rPr>
              <w:t>di un nuovo terminal ferroviario intermodale e una banchina lungo il fiume Po dell’idrovia Padano-Veneta con l’intento di rafforzare il nodo Core di Cremona.</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2D169575" w14:textId="77777777" w:rsidR="00D00EA2" w:rsidRPr="002E17CB" w:rsidRDefault="001230F4" w:rsidP="001230F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30/06/2</w:t>
            </w:r>
            <w:r w:rsidR="00D00EA2">
              <w:rPr>
                <w:rFonts w:eastAsia="Times New Roman" w:cs="Times New Roman"/>
                <w:color w:val="auto"/>
                <w:sz w:val="16"/>
                <w:szCs w:val="16"/>
                <w:bdr w:val="none" w:sz="0" w:space="0" w:color="auto"/>
                <w:lang w:eastAsia="en-GB"/>
              </w:rPr>
              <w:t>1</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706FDC"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3.300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2803A4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1.650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C48196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3.300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5031799"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1.650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2AD359B"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560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9EE39E0"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33,9</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2F138D"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0DE583"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277 </w:t>
            </w:r>
          </w:p>
        </w:tc>
        <w:tc>
          <w:tcPr>
            <w:tcW w:w="199" w:type="pct"/>
            <w:gridSpan w:val="2"/>
            <w:tcBorders>
              <w:top w:val="single" w:sz="4" w:space="0" w:color="auto"/>
              <w:left w:val="single" w:sz="4" w:space="0" w:color="auto"/>
              <w:bottom w:val="single" w:sz="4" w:space="0" w:color="auto"/>
            </w:tcBorders>
            <w:shd w:val="clear" w:color="auto" w:fill="auto"/>
            <w:vAlign w:val="center"/>
          </w:tcPr>
          <w:p w14:paraId="502A8B89" w14:textId="77777777" w:rsidR="00D00EA2" w:rsidRPr="00D00EA2" w:rsidRDefault="00D00EA2" w:rsidP="00326932">
            <w:pPr>
              <w:pBdr>
                <w:top w:val="none" w:sz="0" w:space="0" w:color="auto"/>
                <w:left w:val="none" w:sz="0" w:space="0" w:color="auto"/>
                <w:bottom w:val="none" w:sz="0" w:space="0" w:color="auto"/>
                <w:right w:val="none" w:sz="0" w:space="0" w:color="auto"/>
                <w:between w:val="none" w:sz="0" w:space="0" w:color="auto"/>
                <w:bar w:val="none" w:sz="0" w:color="auto"/>
              </w:pBdr>
              <w:ind w:left="-221" w:right="-109"/>
              <w:jc w:val="center"/>
              <w:rPr>
                <w:rFonts w:cs="Times New Roman"/>
                <w:sz w:val="16"/>
                <w:szCs w:val="16"/>
              </w:rPr>
            </w:pPr>
            <w:r w:rsidRPr="00D00EA2">
              <w:rPr>
                <w:rFonts w:cs="Times New Roman"/>
                <w:sz w:val="16"/>
                <w:szCs w:val="16"/>
              </w:rPr>
              <w:t>17</w:t>
            </w:r>
          </w:p>
        </w:tc>
      </w:tr>
      <w:tr w:rsidR="00D00EA2" w:rsidRPr="00D00EA2" w14:paraId="4918D29F" w14:textId="77777777" w:rsidTr="00C56F61">
        <w:trPr>
          <w:trHeight w:val="1125"/>
        </w:trPr>
        <w:tc>
          <w:tcPr>
            <w:tcW w:w="230" w:type="pct"/>
            <w:tcBorders>
              <w:top w:val="single" w:sz="4" w:space="0" w:color="auto"/>
              <w:left w:val="nil"/>
              <w:bottom w:val="single" w:sz="4" w:space="0" w:color="auto"/>
              <w:right w:val="single" w:sz="4" w:space="0" w:color="auto"/>
            </w:tcBorders>
            <w:shd w:val="clear" w:color="auto" w:fill="auto"/>
            <w:noWrap/>
            <w:vAlign w:val="center"/>
          </w:tcPr>
          <w:p w14:paraId="79F58F3D" w14:textId="77777777" w:rsidR="00D00EA2" w:rsidRPr="002E17CB" w:rsidDel="00C932AF"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17</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tcPr>
          <w:p w14:paraId="5C8500BC"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ind w:left="-109" w:right="-110"/>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2018-IT-TM-0134</w:t>
            </w:r>
            <w:r w:rsidR="0044209F">
              <w:rPr>
                <w:rFonts w:eastAsia="Times New Roman" w:cs="Times New Roman"/>
                <w:color w:val="auto"/>
                <w:sz w:val="16"/>
                <w:szCs w:val="16"/>
                <w:bdr w:val="none" w:sz="0" w:space="0" w:color="auto"/>
                <w:lang w:eastAsia="en-GB"/>
              </w:rPr>
              <w:t xml:space="preserve">   </w:t>
            </w:r>
            <w:r>
              <w:rPr>
                <w:rFonts w:eastAsia="Times New Roman" w:cs="Times New Roman"/>
                <w:color w:val="auto"/>
                <w:sz w:val="16"/>
                <w:szCs w:val="16"/>
                <w:bdr w:val="none" w:sz="0" w:space="0" w:color="auto"/>
                <w:lang w:eastAsia="en-GB"/>
              </w:rPr>
              <w:t>-S</w:t>
            </w:r>
          </w:p>
        </w:tc>
        <w:tc>
          <w:tcPr>
            <w:tcW w:w="5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7A0396" w14:textId="77777777" w:rsidR="00D00EA2" w:rsidRDefault="00D00EA2" w:rsidP="00C56F61">
            <w:pPr>
              <w:pBdr>
                <w:top w:val="none" w:sz="0" w:space="0" w:color="auto"/>
                <w:left w:val="none" w:sz="0" w:space="0" w:color="auto"/>
                <w:bottom w:val="none" w:sz="0" w:space="0" w:color="auto"/>
                <w:right w:val="none" w:sz="0" w:space="0" w:color="auto"/>
                <w:between w:val="none" w:sz="0" w:space="0" w:color="auto"/>
                <w:bar w:val="none" w:sz="0" w:color="auto"/>
              </w:pBdr>
              <w:ind w:left="-44"/>
              <w:rPr>
                <w:rFonts w:eastAsia="Times New Roman" w:cs="Times New Roman"/>
                <w:color w:val="auto"/>
                <w:sz w:val="16"/>
                <w:szCs w:val="16"/>
                <w:bdr w:val="none" w:sz="0" w:space="0" w:color="auto"/>
                <w:lang w:eastAsia="en-GB"/>
              </w:rPr>
            </w:pPr>
            <w:r w:rsidRPr="00A77586">
              <w:rPr>
                <w:rFonts w:eastAsia="Times New Roman" w:cs="Times New Roman"/>
                <w:color w:val="auto"/>
                <w:sz w:val="16"/>
                <w:szCs w:val="16"/>
                <w:bdr w:val="none" w:sz="0" w:space="0" w:color="auto"/>
                <w:lang w:eastAsia="en-GB"/>
              </w:rPr>
              <w:t>E-BRIDGE- Misure tese ad accelerare lo sviluppo infrastrutturale del porto di Genova e delle relative aree logistiche mediante l'implementa</w:t>
            </w:r>
            <w:r w:rsidR="00C56F61">
              <w:rPr>
                <w:rFonts w:eastAsia="Times New Roman" w:cs="Times New Roman"/>
                <w:color w:val="auto"/>
                <w:sz w:val="16"/>
                <w:szCs w:val="16"/>
                <w:bdr w:val="none" w:sz="0" w:space="0" w:color="auto"/>
                <w:lang w:eastAsia="en-GB"/>
              </w:rPr>
              <w:t>-</w:t>
            </w:r>
            <w:r w:rsidRPr="00A77586">
              <w:rPr>
                <w:rFonts w:eastAsia="Times New Roman" w:cs="Times New Roman"/>
                <w:color w:val="auto"/>
                <w:sz w:val="16"/>
                <w:szCs w:val="16"/>
                <w:bdr w:val="none" w:sz="0" w:space="0" w:color="auto"/>
                <w:lang w:eastAsia="en-GB"/>
              </w:rPr>
              <w:t>zione di una piattaforma ICT denominata E-Bridge</w:t>
            </w:r>
          </w:p>
        </w:tc>
        <w:tc>
          <w:tcPr>
            <w:tcW w:w="220"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4E882C8" w14:textId="77777777" w:rsidR="00D00EA2" w:rsidRPr="002E17CB"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eastAsia="en-GB"/>
              </w:rPr>
            </w:pPr>
            <w:r>
              <w:rPr>
                <w:rFonts w:eastAsia="Times New Roman" w:cs="Times New Roman"/>
                <w:color w:val="auto"/>
                <w:sz w:val="16"/>
                <w:szCs w:val="16"/>
                <w:bdr w:val="none" w:sz="0" w:space="0" w:color="auto"/>
                <w:lang w:eastAsia="en-GB"/>
              </w:rPr>
              <w:t>31/10/21</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EE2512"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12.185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9110B64"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6.093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DEECBB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12.185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D0A7497"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6.093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5278C6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1.341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94283E4" w14:textId="77777777" w:rsidR="00D00EA2" w:rsidRPr="00D00EA2" w:rsidRDefault="00D00EA2" w:rsidP="007B13B1">
            <w:pPr>
              <w:pBdr>
                <w:top w:val="none" w:sz="0" w:space="0" w:color="auto"/>
                <w:left w:val="none" w:sz="0" w:space="0" w:color="auto"/>
                <w:bottom w:val="none" w:sz="0" w:space="0" w:color="auto"/>
                <w:right w:val="none" w:sz="0" w:space="0" w:color="auto"/>
                <w:between w:val="none" w:sz="0" w:space="0" w:color="auto"/>
                <w:bar w:val="none" w:sz="0" w:color="auto"/>
              </w:pBdr>
              <w:ind w:left="-156" w:right="-107"/>
              <w:jc w:val="center"/>
              <w:rPr>
                <w:rFonts w:cs="Times New Roman"/>
                <w:sz w:val="16"/>
                <w:szCs w:val="16"/>
              </w:rPr>
            </w:pPr>
            <w:r w:rsidRPr="00D00EA2">
              <w:rPr>
                <w:rFonts w:cs="Times New Roman"/>
                <w:sz w:val="16"/>
                <w:szCs w:val="16"/>
              </w:rPr>
              <w:t>22,0</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CAA34F"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cs="Times New Roman"/>
                <w:b/>
                <w:bCs/>
                <w:sz w:val="16"/>
                <w:szCs w:val="16"/>
              </w:rPr>
            </w:pPr>
            <w:r w:rsidRPr="00D00EA2">
              <w:rPr>
                <w:rFonts w:cs="Times New Roman"/>
                <w:sz w:val="16"/>
                <w:szCs w:val="16"/>
              </w:rPr>
              <w:t xml:space="preserve"> -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E7F39A" w14:textId="77777777" w:rsidR="00D00EA2" w:rsidRPr="00D00EA2" w:rsidRDefault="00D00EA2" w:rsidP="00D00EA2">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cs="Times New Roman"/>
                <w:color w:val="auto"/>
                <w:sz w:val="16"/>
                <w:szCs w:val="16"/>
                <w:bdr w:val="none" w:sz="0" w:space="0" w:color="auto"/>
                <w:lang w:eastAsia="en-GB"/>
              </w:rPr>
            </w:pPr>
            <w:r w:rsidRPr="00D00EA2">
              <w:rPr>
                <w:rFonts w:cs="Times New Roman"/>
                <w:sz w:val="16"/>
                <w:szCs w:val="16"/>
              </w:rPr>
              <w:t xml:space="preserve"> 930 </w:t>
            </w:r>
          </w:p>
        </w:tc>
        <w:tc>
          <w:tcPr>
            <w:tcW w:w="199" w:type="pct"/>
            <w:gridSpan w:val="2"/>
            <w:tcBorders>
              <w:top w:val="single" w:sz="4" w:space="0" w:color="auto"/>
              <w:left w:val="single" w:sz="4" w:space="0" w:color="auto"/>
              <w:bottom w:val="single" w:sz="4" w:space="0" w:color="auto"/>
            </w:tcBorders>
            <w:shd w:val="clear" w:color="auto" w:fill="auto"/>
            <w:vAlign w:val="center"/>
          </w:tcPr>
          <w:p w14:paraId="547935FB" w14:textId="77777777" w:rsidR="00D00EA2" w:rsidRPr="00D00EA2" w:rsidRDefault="00E03ADD"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cs="Times New Roman"/>
                <w:sz w:val="16"/>
                <w:szCs w:val="16"/>
              </w:rPr>
            </w:pPr>
            <w:r>
              <w:rPr>
                <w:rFonts w:cs="Times New Roman"/>
                <w:sz w:val="16"/>
                <w:szCs w:val="16"/>
              </w:rPr>
              <w:t>8</w:t>
            </w:r>
          </w:p>
        </w:tc>
      </w:tr>
      <w:tr w:rsidR="00732F02" w:rsidRPr="007B13B1" w14:paraId="7CEE520C" w14:textId="77777777" w:rsidTr="00C56F61">
        <w:trPr>
          <w:trHeight w:val="476"/>
        </w:trPr>
        <w:tc>
          <w:tcPr>
            <w:tcW w:w="1408" w:type="pct"/>
            <w:gridSpan w:val="7"/>
            <w:tcBorders>
              <w:top w:val="single" w:sz="4" w:space="0" w:color="auto"/>
              <w:left w:val="nil"/>
              <w:bottom w:val="single" w:sz="4" w:space="0" w:color="auto"/>
              <w:right w:val="single" w:sz="4" w:space="0" w:color="auto"/>
            </w:tcBorders>
            <w:shd w:val="clear" w:color="auto" w:fill="auto"/>
            <w:noWrap/>
            <w:vAlign w:val="center"/>
          </w:tcPr>
          <w:p w14:paraId="585501F1" w14:textId="77777777" w:rsidR="00732F02" w:rsidRPr="00922A9B"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ind w:left="-108"/>
              <w:rPr>
                <w:rFonts w:eastAsia="Times New Roman" w:cs="Times New Roman"/>
                <w:color w:val="auto"/>
                <w:sz w:val="16"/>
                <w:szCs w:val="16"/>
                <w:bdr w:val="none" w:sz="0" w:space="0" w:color="auto"/>
                <w:lang w:val="en-GB" w:eastAsia="en-GB"/>
              </w:rPr>
            </w:pPr>
            <w:r>
              <w:rPr>
                <w:rFonts w:eastAsia="Times New Roman" w:cs="Times New Roman"/>
                <w:b/>
                <w:bCs/>
                <w:color w:val="auto"/>
                <w:sz w:val="16"/>
                <w:szCs w:val="16"/>
                <w:bdr w:val="none" w:sz="0" w:space="0" w:color="auto"/>
                <w:lang w:eastAsia="en-GB"/>
              </w:rPr>
              <w:t xml:space="preserve">Sub-totale </w:t>
            </w:r>
            <w:proofErr w:type="gramStart"/>
            <w:r>
              <w:rPr>
                <w:rFonts w:eastAsia="Times New Roman" w:cs="Times New Roman"/>
                <w:b/>
                <w:bCs/>
                <w:color w:val="auto"/>
                <w:sz w:val="16"/>
                <w:szCs w:val="16"/>
                <w:bdr w:val="none" w:sz="0" w:space="0" w:color="auto"/>
                <w:lang w:eastAsia="en-GB"/>
              </w:rPr>
              <w:t>modalità  MULTI</w:t>
            </w:r>
            <w:r w:rsidRPr="00922A9B">
              <w:rPr>
                <w:rFonts w:eastAsia="Times New Roman" w:cs="Times New Roman"/>
                <w:b/>
                <w:bCs/>
                <w:color w:val="auto"/>
                <w:sz w:val="16"/>
                <w:szCs w:val="16"/>
                <w:bdr w:val="none" w:sz="0" w:space="0" w:color="auto"/>
                <w:lang w:eastAsia="en-GB"/>
              </w:rPr>
              <w:t>MODALE</w:t>
            </w:r>
            <w:proofErr w:type="gramEnd"/>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384EC5"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732F02">
              <w:rPr>
                <w:b/>
                <w:bCs/>
                <w:sz w:val="16"/>
                <w:szCs w:val="16"/>
              </w:rPr>
              <w:t xml:space="preserve">234.408 </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B32BBB4"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732F02">
              <w:rPr>
                <w:b/>
                <w:bCs/>
                <w:sz w:val="16"/>
                <w:szCs w:val="16"/>
              </w:rPr>
              <w:t xml:space="preserve">62.795 </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4579D98"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732F02">
              <w:rPr>
                <w:b/>
                <w:bCs/>
                <w:sz w:val="16"/>
                <w:szCs w:val="16"/>
              </w:rPr>
              <w:t xml:space="preserve">329.202 </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0458259"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732F02">
              <w:rPr>
                <w:b/>
                <w:bCs/>
                <w:sz w:val="16"/>
                <w:szCs w:val="16"/>
              </w:rPr>
              <w:t xml:space="preserve">101.924 </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5A657A9"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732F02">
              <w:rPr>
                <w:b/>
                <w:bCs/>
                <w:sz w:val="16"/>
                <w:szCs w:val="16"/>
              </w:rPr>
              <w:t xml:space="preserve">11.050 </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97DEB9A" w14:textId="77777777" w:rsidR="00732F02" w:rsidRPr="00732F02" w:rsidRDefault="00732F02"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732F02">
              <w:rPr>
                <w:b/>
                <w:bCs/>
                <w:sz w:val="16"/>
                <w:szCs w:val="16"/>
              </w:rPr>
              <w:t xml:space="preserve">  17,6 </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C43A81" w14:textId="77777777" w:rsidR="00732F02" w:rsidRPr="00732F02" w:rsidRDefault="00180F01"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Pr>
                <w:b/>
                <w:bCs/>
                <w:sz w:val="16"/>
                <w:szCs w:val="16"/>
              </w:rPr>
              <w:t>-</w:t>
            </w:r>
            <w:r w:rsidR="00732F02" w:rsidRPr="00732F02">
              <w:rPr>
                <w:b/>
                <w:bCs/>
                <w:sz w:val="16"/>
                <w:szCs w:val="16"/>
              </w:rPr>
              <w:t xml:space="preserve">1.587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052C40" w14:textId="77777777" w:rsidR="00732F02" w:rsidRPr="00E809CF" w:rsidRDefault="00E809CF" w:rsidP="00732F0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color w:val="auto"/>
                <w:sz w:val="16"/>
                <w:szCs w:val="16"/>
              </w:rPr>
            </w:pPr>
            <w:r w:rsidRPr="00E809CF">
              <w:rPr>
                <w:b/>
                <w:bCs/>
                <w:color w:val="auto"/>
                <w:sz w:val="16"/>
                <w:szCs w:val="16"/>
              </w:rPr>
              <w:t>45.264</w:t>
            </w:r>
            <w:r w:rsidR="00732F02" w:rsidRPr="00E809CF">
              <w:rPr>
                <w:b/>
                <w:bCs/>
                <w:color w:val="auto"/>
                <w:sz w:val="16"/>
                <w:szCs w:val="16"/>
              </w:rPr>
              <w:t xml:space="preserve"> </w:t>
            </w:r>
          </w:p>
        </w:tc>
        <w:tc>
          <w:tcPr>
            <w:tcW w:w="199" w:type="pct"/>
            <w:gridSpan w:val="2"/>
            <w:tcBorders>
              <w:top w:val="single" w:sz="4" w:space="0" w:color="auto"/>
              <w:left w:val="single" w:sz="4" w:space="0" w:color="auto"/>
              <w:bottom w:val="single" w:sz="4" w:space="0" w:color="auto"/>
            </w:tcBorders>
            <w:shd w:val="clear" w:color="auto" w:fill="auto"/>
            <w:vAlign w:val="center"/>
          </w:tcPr>
          <w:p w14:paraId="267F4E5F" w14:textId="77777777" w:rsidR="00732F02" w:rsidRPr="00E809CF" w:rsidRDefault="00E809CF" w:rsidP="00326932">
            <w:pPr>
              <w:pBdr>
                <w:top w:val="none" w:sz="0" w:space="0" w:color="auto"/>
                <w:left w:val="none" w:sz="0" w:space="0" w:color="auto"/>
                <w:bottom w:val="none" w:sz="0" w:space="0" w:color="auto"/>
                <w:right w:val="none" w:sz="0" w:space="0" w:color="auto"/>
                <w:between w:val="none" w:sz="0" w:space="0" w:color="auto"/>
                <w:bar w:val="none" w:sz="0" w:color="auto"/>
              </w:pBdr>
              <w:ind w:left="-108" w:right="-109"/>
              <w:jc w:val="center"/>
              <w:rPr>
                <w:rFonts w:cs="Times New Roman"/>
                <w:b/>
                <w:color w:val="auto"/>
                <w:sz w:val="16"/>
                <w:szCs w:val="16"/>
              </w:rPr>
            </w:pPr>
            <w:r>
              <w:rPr>
                <w:rFonts w:cs="Times New Roman"/>
                <w:b/>
                <w:color w:val="auto"/>
                <w:sz w:val="16"/>
                <w:szCs w:val="16"/>
              </w:rPr>
              <w:t>19</w:t>
            </w:r>
            <w:r w:rsidR="00732F02" w:rsidRPr="00E809CF">
              <w:rPr>
                <w:rFonts w:cs="Times New Roman"/>
                <w:b/>
                <w:color w:val="auto"/>
                <w:sz w:val="16"/>
                <w:szCs w:val="16"/>
                <w:vertAlign w:val="superscript"/>
              </w:rPr>
              <w:t>14</w:t>
            </w:r>
          </w:p>
        </w:tc>
      </w:tr>
      <w:tr w:rsidR="00180F01" w:rsidRPr="00922A9B" w14:paraId="568369BF" w14:textId="77777777" w:rsidTr="00C56F61">
        <w:trPr>
          <w:trHeight w:val="526"/>
        </w:trPr>
        <w:tc>
          <w:tcPr>
            <w:tcW w:w="230" w:type="pct"/>
            <w:tcBorders>
              <w:top w:val="single" w:sz="4" w:space="0" w:color="auto"/>
              <w:left w:val="nil"/>
              <w:bottom w:val="single" w:sz="4" w:space="0" w:color="auto"/>
              <w:right w:val="single" w:sz="4" w:space="0" w:color="auto"/>
            </w:tcBorders>
            <w:shd w:val="clear" w:color="auto" w:fill="auto"/>
            <w:noWrap/>
            <w:vAlign w:val="center"/>
          </w:tcPr>
          <w:p w14:paraId="5DCE97C2" w14:textId="77777777" w:rsidR="00180F01" w:rsidRPr="0084292F"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ind w:left="-243" w:right="-252"/>
              <w:jc w:val="center"/>
              <w:rPr>
                <w:rFonts w:eastAsia="Times New Roman" w:cs="Times New Roman"/>
                <w:b/>
                <w:color w:val="auto"/>
                <w:sz w:val="16"/>
                <w:szCs w:val="16"/>
                <w:bdr w:val="none" w:sz="0" w:space="0" w:color="auto"/>
                <w:lang w:val="en-GB" w:eastAsia="en-GB"/>
              </w:rPr>
            </w:pPr>
            <w:r>
              <w:rPr>
                <w:rFonts w:eastAsia="Times New Roman" w:cs="Times New Roman"/>
                <w:b/>
                <w:color w:val="auto"/>
                <w:sz w:val="16"/>
                <w:szCs w:val="16"/>
                <w:bdr w:val="none" w:sz="0" w:space="0" w:color="auto"/>
                <w:lang w:val="en-GB" w:eastAsia="en-GB"/>
              </w:rPr>
              <w:lastRenderedPageBreak/>
              <w:t>94</w:t>
            </w:r>
          </w:p>
        </w:tc>
        <w:tc>
          <w:tcPr>
            <w:tcW w:w="11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A0E1FD" w14:textId="77777777" w:rsid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b/>
                <w:bCs/>
                <w:color w:val="auto"/>
                <w:sz w:val="16"/>
                <w:szCs w:val="16"/>
                <w:bdr w:val="none" w:sz="0" w:space="0" w:color="auto"/>
                <w:lang w:eastAsia="en-GB"/>
              </w:rPr>
            </w:pPr>
            <w:r w:rsidRPr="00634E83">
              <w:rPr>
                <w:rFonts w:eastAsia="Times New Roman" w:cs="Times New Roman"/>
                <w:b/>
                <w:bCs/>
                <w:color w:val="auto"/>
                <w:sz w:val="16"/>
                <w:szCs w:val="16"/>
                <w:bdr w:val="none" w:sz="0" w:space="0" w:color="auto"/>
                <w:lang w:eastAsia="en-GB"/>
              </w:rPr>
              <w:t xml:space="preserve">TOTALE </w:t>
            </w:r>
            <w:r>
              <w:rPr>
                <w:rFonts w:eastAsia="Times New Roman" w:cs="Times New Roman"/>
                <w:b/>
                <w:bCs/>
                <w:color w:val="auto"/>
                <w:sz w:val="16"/>
                <w:szCs w:val="16"/>
                <w:bdr w:val="none" w:sz="0" w:space="0" w:color="auto"/>
                <w:lang w:eastAsia="en-GB"/>
              </w:rPr>
              <w:t>AZION</w:t>
            </w:r>
            <w:r w:rsidRPr="00634E83">
              <w:rPr>
                <w:rFonts w:eastAsia="Times New Roman" w:cs="Times New Roman"/>
                <w:b/>
                <w:bCs/>
                <w:color w:val="auto"/>
                <w:sz w:val="16"/>
                <w:szCs w:val="16"/>
                <w:bdr w:val="none" w:sz="0" w:space="0" w:color="auto"/>
                <w:lang w:eastAsia="en-GB"/>
              </w:rPr>
              <w:t xml:space="preserve">I </w:t>
            </w:r>
          </w:p>
          <w:p w14:paraId="0C0A9210" w14:textId="77777777" w:rsidR="00180F01" w:rsidRPr="00922A9B"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Times New Roman"/>
                <w:color w:val="auto"/>
                <w:sz w:val="16"/>
                <w:szCs w:val="16"/>
                <w:bdr w:val="none" w:sz="0" w:space="0" w:color="auto"/>
                <w:lang w:val="en-GB" w:eastAsia="en-GB"/>
              </w:rPr>
            </w:pPr>
            <w:r>
              <w:rPr>
                <w:rFonts w:eastAsia="Times New Roman" w:cs="Times New Roman"/>
                <w:b/>
                <w:bCs/>
                <w:color w:val="auto"/>
                <w:sz w:val="16"/>
                <w:szCs w:val="16"/>
                <w:bdr w:val="none" w:sz="0" w:space="0" w:color="auto"/>
                <w:lang w:eastAsia="en-GB"/>
              </w:rPr>
              <w:t>CEF 2014-2020</w:t>
            </w:r>
          </w:p>
        </w:tc>
        <w:tc>
          <w:tcPr>
            <w:tcW w:w="39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92198D" w14:textId="77777777" w:rsidR="00180F01" w:rsidRPr="00180F01" w:rsidRDefault="00180F01" w:rsidP="007A79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13" w:right="-113"/>
              <w:jc w:val="center"/>
              <w:textAlignment w:val="center"/>
              <w:rPr>
                <w:b/>
                <w:bCs/>
                <w:sz w:val="16"/>
                <w:szCs w:val="16"/>
              </w:rPr>
            </w:pPr>
            <w:r w:rsidRPr="00180F01">
              <w:rPr>
                <w:b/>
                <w:bCs/>
                <w:sz w:val="16"/>
                <w:szCs w:val="16"/>
              </w:rPr>
              <w:t>4.118.389</w:t>
            </w:r>
          </w:p>
        </w:tc>
        <w:tc>
          <w:tcPr>
            <w:tcW w:w="522"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BEAF05E" w14:textId="77777777" w:rsidR="00180F01" w:rsidRP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jc w:val="right"/>
              <w:rPr>
                <w:b/>
                <w:bCs/>
                <w:sz w:val="16"/>
                <w:szCs w:val="16"/>
              </w:rPr>
            </w:pPr>
            <w:r w:rsidRPr="00180F01">
              <w:rPr>
                <w:b/>
                <w:bCs/>
                <w:sz w:val="16"/>
                <w:szCs w:val="16"/>
              </w:rPr>
              <w:t>1.587.256</w:t>
            </w:r>
          </w:p>
        </w:tc>
        <w:tc>
          <w:tcPr>
            <w:tcW w:w="50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F141E30" w14:textId="77777777" w:rsidR="00180F01" w:rsidRP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b/>
                <w:bCs/>
                <w:sz w:val="16"/>
                <w:szCs w:val="16"/>
              </w:rPr>
            </w:pPr>
            <w:r w:rsidRPr="00180F01">
              <w:rPr>
                <w:b/>
                <w:bCs/>
                <w:sz w:val="16"/>
                <w:szCs w:val="16"/>
              </w:rPr>
              <w:t>9.943.941</w:t>
            </w:r>
          </w:p>
        </w:tc>
        <w:tc>
          <w:tcPr>
            <w:tcW w:w="479"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1D701B0" w14:textId="77777777" w:rsidR="00180F01" w:rsidRP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textAlignment w:val="center"/>
              <w:rPr>
                <w:b/>
                <w:bCs/>
                <w:sz w:val="16"/>
                <w:szCs w:val="16"/>
              </w:rPr>
            </w:pPr>
            <w:r w:rsidRPr="00180F01">
              <w:rPr>
                <w:b/>
                <w:bCs/>
                <w:sz w:val="16"/>
                <w:szCs w:val="16"/>
              </w:rPr>
              <w:t>4.001.699</w:t>
            </w:r>
          </w:p>
        </w:tc>
        <w:tc>
          <w:tcPr>
            <w:tcW w:w="411"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0688624" w14:textId="77777777" w:rsidR="00180F01" w:rsidRP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jc w:val="right"/>
              <w:rPr>
                <w:b/>
                <w:bCs/>
                <w:sz w:val="16"/>
                <w:szCs w:val="16"/>
              </w:rPr>
            </w:pPr>
            <w:r w:rsidRPr="00180F01">
              <w:rPr>
                <w:b/>
                <w:bCs/>
                <w:sz w:val="16"/>
                <w:szCs w:val="16"/>
              </w:rPr>
              <w:t>536.080</w:t>
            </w:r>
          </w:p>
        </w:tc>
        <w:tc>
          <w:tcPr>
            <w:tcW w:w="416"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4EEFEAD" w14:textId="77777777" w:rsidR="00180F01" w:rsidRP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56" w:right="-107"/>
              <w:jc w:val="center"/>
              <w:textAlignment w:val="center"/>
              <w:rPr>
                <w:b/>
                <w:bCs/>
                <w:sz w:val="16"/>
                <w:szCs w:val="16"/>
              </w:rPr>
            </w:pPr>
            <w:r w:rsidRPr="00180F01">
              <w:rPr>
                <w:b/>
                <w:bCs/>
                <w:sz w:val="16"/>
                <w:szCs w:val="16"/>
              </w:rPr>
              <w:t xml:space="preserve">33,8 </w:t>
            </w:r>
          </w:p>
        </w:tc>
        <w:tc>
          <w:tcPr>
            <w:tcW w:w="2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D0664" w14:textId="77777777" w:rsidR="00180F01" w:rsidRPr="00180F01" w:rsidRDefault="00180F01" w:rsidP="00180F01">
            <w:pPr>
              <w:pBdr>
                <w:top w:val="none" w:sz="0" w:space="0" w:color="auto"/>
                <w:left w:val="none" w:sz="0" w:space="0" w:color="auto"/>
                <w:bottom w:val="none" w:sz="0" w:space="0" w:color="auto"/>
                <w:right w:val="none" w:sz="0" w:space="0" w:color="auto"/>
                <w:between w:val="none" w:sz="0" w:space="0" w:color="auto"/>
                <w:bar w:val="none" w:sz="0" w:color="auto"/>
              </w:pBdr>
              <w:ind w:left="-113" w:right="-113"/>
              <w:jc w:val="right"/>
              <w:rPr>
                <w:b/>
                <w:bCs/>
                <w:sz w:val="16"/>
                <w:szCs w:val="16"/>
              </w:rPr>
            </w:pPr>
            <w:r>
              <w:rPr>
                <w:b/>
                <w:bCs/>
                <w:sz w:val="16"/>
                <w:szCs w:val="16"/>
              </w:rPr>
              <w:t>-</w:t>
            </w:r>
            <w:r w:rsidRPr="00180F01">
              <w:rPr>
                <w:b/>
                <w:bCs/>
                <w:sz w:val="16"/>
                <w:szCs w:val="16"/>
              </w:rPr>
              <w:t xml:space="preserve">17.452 </w:t>
            </w:r>
          </w:p>
        </w:tc>
        <w:tc>
          <w:tcPr>
            <w:tcW w:w="4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DB1879" w14:textId="77777777" w:rsidR="00180F01" w:rsidRPr="00E809CF" w:rsidRDefault="00E809CF" w:rsidP="00180F01">
            <w:pPr>
              <w:pBdr>
                <w:top w:val="none" w:sz="0" w:space="0" w:color="auto"/>
                <w:left w:val="none" w:sz="0" w:space="0" w:color="auto"/>
                <w:bottom w:val="none" w:sz="0" w:space="0" w:color="auto"/>
                <w:right w:val="none" w:sz="0" w:space="0" w:color="auto"/>
                <w:between w:val="none" w:sz="0" w:space="0" w:color="auto"/>
                <w:bar w:val="none" w:sz="0" w:color="auto"/>
              </w:pBdr>
              <w:ind w:left="-84" w:right="-139"/>
              <w:jc w:val="center"/>
              <w:rPr>
                <w:b/>
                <w:bCs/>
                <w:color w:val="auto"/>
                <w:sz w:val="16"/>
                <w:szCs w:val="16"/>
              </w:rPr>
            </w:pPr>
            <w:r w:rsidRPr="00E809CF">
              <w:rPr>
                <w:b/>
                <w:bCs/>
                <w:color w:val="auto"/>
                <w:sz w:val="16"/>
                <w:szCs w:val="16"/>
              </w:rPr>
              <w:t>1.575.170</w:t>
            </w:r>
          </w:p>
        </w:tc>
        <w:tc>
          <w:tcPr>
            <w:tcW w:w="199" w:type="pct"/>
            <w:gridSpan w:val="2"/>
            <w:tcBorders>
              <w:top w:val="single" w:sz="4" w:space="0" w:color="auto"/>
              <w:left w:val="single" w:sz="4" w:space="0" w:color="auto"/>
              <w:bottom w:val="single" w:sz="4" w:space="0" w:color="auto"/>
            </w:tcBorders>
            <w:shd w:val="clear" w:color="auto" w:fill="auto"/>
            <w:vAlign w:val="center"/>
          </w:tcPr>
          <w:p w14:paraId="7F46B464" w14:textId="77777777" w:rsidR="00180F01" w:rsidRPr="00E809CF" w:rsidRDefault="00E809CF" w:rsidP="0032693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108" w:right="-109"/>
              <w:jc w:val="center"/>
              <w:textAlignment w:val="center"/>
              <w:rPr>
                <w:b/>
                <w:bCs/>
                <w:color w:val="auto"/>
                <w:sz w:val="16"/>
                <w:szCs w:val="16"/>
              </w:rPr>
            </w:pPr>
            <w:r>
              <w:rPr>
                <w:rFonts w:cs="Times New Roman"/>
                <w:b/>
                <w:color w:val="auto"/>
                <w:sz w:val="16"/>
                <w:szCs w:val="16"/>
              </w:rPr>
              <w:t>38</w:t>
            </w:r>
            <w:r w:rsidR="00180F01" w:rsidRPr="00E809CF">
              <w:rPr>
                <w:rFonts w:cs="Times New Roman"/>
                <w:b/>
                <w:color w:val="auto"/>
                <w:sz w:val="16"/>
                <w:szCs w:val="16"/>
                <w:vertAlign w:val="superscript"/>
              </w:rPr>
              <w:t>14</w:t>
            </w:r>
          </w:p>
        </w:tc>
      </w:tr>
    </w:tbl>
    <w:p w14:paraId="0A7CA353" w14:textId="77777777" w:rsidR="00F56499" w:rsidRDefault="00F56499" w:rsidP="00E05E8F">
      <w:pPr>
        <w:jc w:val="both"/>
        <w:rPr>
          <w:sz w:val="18"/>
          <w:szCs w:val="18"/>
        </w:rPr>
      </w:pPr>
    </w:p>
    <w:p w14:paraId="6A925FF2" w14:textId="77777777" w:rsidR="00E05E8F" w:rsidRPr="00F665E4" w:rsidRDefault="00E05E8F" w:rsidP="00E05E8F">
      <w:pPr>
        <w:jc w:val="both"/>
        <w:rPr>
          <w:sz w:val="18"/>
          <w:szCs w:val="18"/>
        </w:rPr>
      </w:pPr>
      <w:r w:rsidRPr="00F665E4">
        <w:rPr>
          <w:sz w:val="18"/>
          <w:szCs w:val="18"/>
        </w:rPr>
        <w:t xml:space="preserve">Note: </w:t>
      </w:r>
    </w:p>
    <w:p w14:paraId="0C77BAFB" w14:textId="77777777" w:rsidR="006B6EBB" w:rsidRPr="006B6EBB" w:rsidRDefault="00636FEC" w:rsidP="006B6EBB">
      <w:pPr>
        <w:tabs>
          <w:tab w:val="left" w:pos="284"/>
        </w:tabs>
        <w:jc w:val="both"/>
        <w:rPr>
          <w:rFonts w:eastAsia="Times New Roman" w:cs="Times New Roman"/>
          <w:color w:val="auto"/>
          <w:sz w:val="18"/>
          <w:szCs w:val="18"/>
          <w:bdr w:val="none" w:sz="0" w:space="0" w:color="auto"/>
          <w:lang w:eastAsia="en-GB"/>
        </w:rPr>
      </w:pPr>
      <w:r>
        <w:rPr>
          <w:rFonts w:eastAsia="Times New Roman" w:cs="Times New Roman"/>
          <w:color w:val="auto"/>
          <w:sz w:val="18"/>
          <w:szCs w:val="18"/>
          <w:bdr w:val="none" w:sz="0" w:space="0" w:color="auto"/>
          <w:lang w:eastAsia="en-GB"/>
        </w:rPr>
        <w:t>1.</w:t>
      </w:r>
      <w:r w:rsidR="004100A7">
        <w:rPr>
          <w:rFonts w:eastAsia="Times New Roman" w:cs="Times New Roman"/>
          <w:color w:val="auto"/>
          <w:sz w:val="18"/>
          <w:szCs w:val="18"/>
          <w:bdr w:val="none" w:sz="0" w:space="0" w:color="auto"/>
          <w:lang w:eastAsia="en-GB"/>
        </w:rPr>
        <w:t xml:space="preserve"> Lista di 94 Azioni</w:t>
      </w:r>
      <w:r w:rsidR="006B6EBB" w:rsidRPr="006B6EBB">
        <w:rPr>
          <w:rFonts w:eastAsia="Times New Roman" w:cs="Times New Roman"/>
          <w:color w:val="auto"/>
          <w:sz w:val="18"/>
          <w:szCs w:val="18"/>
          <w:bdr w:val="none" w:sz="0" w:space="0" w:color="auto"/>
          <w:lang w:eastAsia="en-GB"/>
        </w:rPr>
        <w:t xml:space="preserve">, con contratto di sovvenzione </w:t>
      </w:r>
      <w:r w:rsidR="006B6EBB" w:rsidRPr="00180F01">
        <w:rPr>
          <w:rFonts w:eastAsia="Times New Roman" w:cs="Times New Roman"/>
          <w:i/>
          <w:iCs/>
          <w:color w:val="auto"/>
          <w:sz w:val="18"/>
          <w:szCs w:val="18"/>
          <w:bdr w:val="none" w:sz="0" w:space="0" w:color="auto"/>
          <w:lang w:eastAsia="en-GB"/>
        </w:rPr>
        <w:t>Grant Agreement</w:t>
      </w:r>
      <w:r w:rsidR="006B6EBB" w:rsidRPr="006B6EBB">
        <w:rPr>
          <w:rFonts w:eastAsia="Times New Roman" w:cs="Times New Roman"/>
          <w:color w:val="auto"/>
          <w:sz w:val="18"/>
          <w:szCs w:val="18"/>
          <w:bdr w:val="none" w:sz="0" w:space="0" w:color="auto"/>
          <w:lang w:eastAsia="en-GB"/>
        </w:rPr>
        <w:t xml:space="preserve"> sottoscritto, relative al Programma CEF 2014-2020. Dati aggiornati ad </w:t>
      </w:r>
      <w:proofErr w:type="gramStart"/>
      <w:r w:rsidR="006B6EBB" w:rsidRPr="006B6EBB">
        <w:rPr>
          <w:rFonts w:eastAsia="Times New Roman" w:cs="Times New Roman"/>
          <w:color w:val="auto"/>
          <w:sz w:val="18"/>
          <w:szCs w:val="18"/>
          <w:bdr w:val="none" w:sz="0" w:space="0" w:color="auto"/>
          <w:lang w:eastAsia="en-GB"/>
        </w:rPr>
        <w:t>Aprile</w:t>
      </w:r>
      <w:proofErr w:type="gramEnd"/>
      <w:r w:rsidR="006B6EBB" w:rsidRPr="006B6EBB">
        <w:rPr>
          <w:rFonts w:eastAsia="Times New Roman" w:cs="Times New Roman"/>
          <w:color w:val="auto"/>
          <w:sz w:val="18"/>
          <w:szCs w:val="18"/>
          <w:bdr w:val="none" w:sz="0" w:space="0" w:color="auto"/>
          <w:lang w:eastAsia="en-GB"/>
        </w:rPr>
        <w:t xml:space="preserve"> 2020. Gli importi sono approssimati ed espressi in migliaia di euro (</w:t>
      </w:r>
      <w:r>
        <w:rPr>
          <w:rFonts w:eastAsia="Times New Roman" w:cs="Times New Roman"/>
          <w:color w:val="auto"/>
          <w:sz w:val="18"/>
          <w:szCs w:val="18"/>
          <w:bdr w:val="none" w:sz="0" w:space="0" w:color="auto"/>
          <w:lang w:eastAsia="en-GB"/>
        </w:rPr>
        <w:t>k</w:t>
      </w:r>
      <w:r w:rsidR="006B6EBB" w:rsidRPr="006B6EBB">
        <w:rPr>
          <w:rFonts w:eastAsia="Times New Roman" w:cs="Times New Roman"/>
          <w:color w:val="auto"/>
          <w:sz w:val="18"/>
          <w:szCs w:val="18"/>
          <w:bdr w:val="none" w:sz="0" w:space="0" w:color="auto"/>
          <w:lang w:eastAsia="en-GB"/>
        </w:rPr>
        <w:t>€).</w:t>
      </w:r>
    </w:p>
    <w:p w14:paraId="684CF085" w14:textId="77777777" w:rsidR="006B6EBB" w:rsidRPr="00981E0E" w:rsidRDefault="00636FEC" w:rsidP="006B6EBB">
      <w:pPr>
        <w:tabs>
          <w:tab w:val="left" w:pos="284"/>
        </w:tabs>
        <w:jc w:val="both"/>
        <w:rPr>
          <w:rFonts w:eastAsia="Times New Roman" w:cs="Times New Roman"/>
          <w:color w:val="auto"/>
          <w:sz w:val="18"/>
          <w:szCs w:val="18"/>
          <w:bdr w:val="none" w:sz="0" w:space="0" w:color="auto"/>
          <w:lang w:val="en-GB" w:eastAsia="en-GB"/>
        </w:rPr>
      </w:pPr>
      <w:r w:rsidRPr="00981E0E">
        <w:rPr>
          <w:rFonts w:eastAsia="Times New Roman" w:cs="Times New Roman"/>
          <w:color w:val="auto"/>
          <w:sz w:val="18"/>
          <w:szCs w:val="18"/>
          <w:bdr w:val="none" w:sz="0" w:space="0" w:color="auto"/>
          <w:lang w:val="en-GB" w:eastAsia="en-GB"/>
        </w:rPr>
        <w:t>2.</w:t>
      </w:r>
      <w:r w:rsidR="006B6EBB" w:rsidRPr="00981E0E">
        <w:rPr>
          <w:rFonts w:eastAsia="Times New Roman" w:cs="Times New Roman"/>
          <w:color w:val="auto"/>
          <w:sz w:val="18"/>
          <w:szCs w:val="18"/>
          <w:bdr w:val="none" w:sz="0" w:space="0" w:color="auto"/>
          <w:lang w:val="en-GB" w:eastAsia="en-GB"/>
        </w:rPr>
        <w:t xml:space="preserve"> ERTMS: </w:t>
      </w:r>
      <w:r w:rsidR="006B6EBB" w:rsidRPr="00981E0E">
        <w:rPr>
          <w:rFonts w:eastAsia="Times New Roman" w:cs="Times New Roman"/>
          <w:i/>
          <w:iCs/>
          <w:color w:val="auto"/>
          <w:sz w:val="18"/>
          <w:szCs w:val="18"/>
          <w:bdr w:val="none" w:sz="0" w:space="0" w:color="auto"/>
          <w:lang w:val="en-GB" w:eastAsia="en-GB"/>
        </w:rPr>
        <w:t xml:space="preserve">European </w:t>
      </w:r>
      <w:r w:rsidR="00662B51" w:rsidRPr="00981E0E">
        <w:rPr>
          <w:rFonts w:eastAsia="Times New Roman" w:cs="Times New Roman"/>
          <w:i/>
          <w:iCs/>
          <w:color w:val="auto"/>
          <w:sz w:val="18"/>
          <w:szCs w:val="18"/>
          <w:bdr w:val="none" w:sz="0" w:space="0" w:color="auto"/>
          <w:lang w:val="en-GB" w:eastAsia="en-GB"/>
        </w:rPr>
        <w:t xml:space="preserve">Rail </w:t>
      </w:r>
      <w:r w:rsidR="005E7D5C" w:rsidRPr="00981E0E">
        <w:rPr>
          <w:rFonts w:eastAsia="Times New Roman" w:cs="Times New Roman"/>
          <w:i/>
          <w:iCs/>
          <w:color w:val="auto"/>
          <w:sz w:val="18"/>
          <w:szCs w:val="18"/>
          <w:bdr w:val="none" w:sz="0" w:space="0" w:color="auto"/>
          <w:lang w:val="en-GB" w:eastAsia="en-GB"/>
        </w:rPr>
        <w:t xml:space="preserve">Traffic </w:t>
      </w:r>
      <w:r w:rsidR="006B6EBB" w:rsidRPr="00981E0E">
        <w:rPr>
          <w:rFonts w:eastAsia="Times New Roman" w:cs="Times New Roman"/>
          <w:i/>
          <w:iCs/>
          <w:color w:val="auto"/>
          <w:sz w:val="18"/>
          <w:szCs w:val="18"/>
          <w:bdr w:val="none" w:sz="0" w:space="0" w:color="auto"/>
          <w:lang w:val="en-GB" w:eastAsia="en-GB"/>
        </w:rPr>
        <w:t>Management System</w:t>
      </w:r>
      <w:r w:rsidR="006B6EBB" w:rsidRPr="00981E0E">
        <w:rPr>
          <w:rFonts w:eastAsia="Times New Roman" w:cs="Times New Roman"/>
          <w:color w:val="auto"/>
          <w:sz w:val="18"/>
          <w:szCs w:val="18"/>
          <w:bdr w:val="none" w:sz="0" w:space="0" w:color="auto"/>
          <w:lang w:val="en-GB" w:eastAsia="en-GB"/>
        </w:rPr>
        <w:t>.</w:t>
      </w:r>
    </w:p>
    <w:p w14:paraId="6AB40724" w14:textId="77777777" w:rsidR="006B6EBB" w:rsidRPr="006B6EBB" w:rsidRDefault="00636FEC" w:rsidP="006B6EBB">
      <w:pPr>
        <w:tabs>
          <w:tab w:val="left" w:pos="284"/>
        </w:tabs>
        <w:jc w:val="both"/>
        <w:rPr>
          <w:rFonts w:eastAsia="Times New Roman" w:cs="Times New Roman"/>
          <w:color w:val="auto"/>
          <w:sz w:val="18"/>
          <w:szCs w:val="18"/>
          <w:bdr w:val="none" w:sz="0" w:space="0" w:color="auto"/>
          <w:lang w:eastAsia="en-GB"/>
        </w:rPr>
      </w:pPr>
      <w:r>
        <w:rPr>
          <w:rFonts w:eastAsia="Times New Roman" w:cs="Times New Roman"/>
          <w:color w:val="auto"/>
          <w:sz w:val="18"/>
          <w:szCs w:val="18"/>
          <w:bdr w:val="none" w:sz="0" w:space="0" w:color="auto"/>
          <w:lang w:eastAsia="en-GB"/>
        </w:rPr>
        <w:t>3.</w:t>
      </w:r>
      <w:r w:rsidR="006B6EBB" w:rsidRPr="006B6EBB">
        <w:rPr>
          <w:rFonts w:eastAsia="Times New Roman" w:cs="Times New Roman"/>
          <w:color w:val="auto"/>
          <w:sz w:val="18"/>
          <w:szCs w:val="18"/>
          <w:bdr w:val="none" w:sz="0" w:space="0" w:color="auto"/>
          <w:lang w:eastAsia="en-GB"/>
        </w:rPr>
        <w:t xml:space="preserve"> L’importo corrisponde al costo totale dell’Azione </w:t>
      </w:r>
      <w:r w:rsidR="00626A0D">
        <w:rPr>
          <w:rFonts w:eastAsia="Times New Roman" w:cs="Times New Roman"/>
          <w:color w:val="auto"/>
          <w:sz w:val="18"/>
          <w:szCs w:val="18"/>
          <w:bdr w:val="none" w:sz="0" w:space="0" w:color="auto"/>
          <w:lang w:eastAsia="en-GB"/>
        </w:rPr>
        <w:t>presente nel</w:t>
      </w:r>
      <w:r w:rsidR="00626A0D" w:rsidRPr="006B6EBB">
        <w:rPr>
          <w:rFonts w:eastAsia="Times New Roman" w:cs="Times New Roman"/>
          <w:color w:val="auto"/>
          <w:sz w:val="18"/>
          <w:szCs w:val="18"/>
          <w:bdr w:val="none" w:sz="0" w:space="0" w:color="auto"/>
          <w:lang w:eastAsia="en-GB"/>
        </w:rPr>
        <w:t xml:space="preserve"> </w:t>
      </w:r>
      <w:r w:rsidR="00626A0D" w:rsidRPr="00180F01">
        <w:rPr>
          <w:rFonts w:eastAsia="Times New Roman" w:cs="Times New Roman"/>
          <w:i/>
          <w:iCs/>
          <w:color w:val="auto"/>
          <w:sz w:val="18"/>
          <w:szCs w:val="18"/>
          <w:bdr w:val="none" w:sz="0" w:space="0" w:color="auto"/>
          <w:lang w:eastAsia="en-GB"/>
        </w:rPr>
        <w:t>Grant Agreement</w:t>
      </w:r>
      <w:r w:rsidR="00626A0D" w:rsidRPr="006B6EBB">
        <w:rPr>
          <w:rFonts w:eastAsia="Times New Roman" w:cs="Times New Roman"/>
          <w:color w:val="auto"/>
          <w:sz w:val="18"/>
          <w:szCs w:val="18"/>
          <w:bdr w:val="none" w:sz="0" w:space="0" w:color="auto"/>
          <w:lang w:eastAsia="en-GB"/>
        </w:rPr>
        <w:t xml:space="preserve"> vigente o definitivamente riconosciuto dall’INEA alla chiusura dell’Azione, relativo ai soli beneficiari italiani.</w:t>
      </w:r>
    </w:p>
    <w:p w14:paraId="1782CE57" w14:textId="77777777" w:rsidR="006B6EBB" w:rsidRPr="006B6EBB" w:rsidRDefault="00636FEC" w:rsidP="006B6EBB">
      <w:pPr>
        <w:tabs>
          <w:tab w:val="left" w:pos="284"/>
        </w:tabs>
        <w:jc w:val="both"/>
        <w:rPr>
          <w:rFonts w:eastAsia="Times New Roman" w:cs="Times New Roman"/>
          <w:color w:val="auto"/>
          <w:sz w:val="18"/>
          <w:szCs w:val="18"/>
          <w:bdr w:val="none" w:sz="0" w:space="0" w:color="auto"/>
          <w:lang w:eastAsia="en-GB"/>
        </w:rPr>
      </w:pPr>
      <w:r>
        <w:rPr>
          <w:rFonts w:eastAsia="Times New Roman" w:cs="Times New Roman"/>
          <w:color w:val="auto"/>
          <w:sz w:val="18"/>
          <w:szCs w:val="18"/>
          <w:bdr w:val="none" w:sz="0" w:space="0" w:color="auto"/>
          <w:lang w:eastAsia="en-GB"/>
        </w:rPr>
        <w:t>4.</w:t>
      </w:r>
      <w:r w:rsidR="006B6EBB" w:rsidRPr="006B6EBB">
        <w:rPr>
          <w:rFonts w:eastAsia="Times New Roman" w:cs="Times New Roman"/>
          <w:color w:val="auto"/>
          <w:sz w:val="18"/>
          <w:szCs w:val="18"/>
          <w:bdr w:val="none" w:sz="0" w:space="0" w:color="auto"/>
          <w:lang w:eastAsia="en-GB"/>
        </w:rPr>
        <w:t xml:space="preserve"> L’importo corrisponde al contributo comunitario assegnato all’Azione, mediante </w:t>
      </w:r>
      <w:r w:rsidR="006B6EBB" w:rsidRPr="00180F01">
        <w:rPr>
          <w:rFonts w:eastAsia="Times New Roman" w:cs="Times New Roman"/>
          <w:i/>
          <w:iCs/>
          <w:color w:val="auto"/>
          <w:sz w:val="18"/>
          <w:szCs w:val="18"/>
          <w:bdr w:val="none" w:sz="0" w:space="0" w:color="auto"/>
          <w:lang w:eastAsia="en-GB"/>
        </w:rPr>
        <w:t>Grant Agreement</w:t>
      </w:r>
      <w:r w:rsidR="006B6EBB" w:rsidRPr="006B6EBB">
        <w:rPr>
          <w:rFonts w:eastAsia="Times New Roman" w:cs="Times New Roman"/>
          <w:color w:val="auto"/>
          <w:sz w:val="18"/>
          <w:szCs w:val="18"/>
          <w:bdr w:val="none" w:sz="0" w:space="0" w:color="auto"/>
          <w:lang w:eastAsia="en-GB"/>
        </w:rPr>
        <w:t xml:space="preserve"> vigente o definitivamente riconosciuto dall’INEA alla chiusura dell’Azione, relativo ai soli beneficiari italiani.</w:t>
      </w:r>
    </w:p>
    <w:p w14:paraId="1032A66A" w14:textId="77777777" w:rsidR="006B6EBB" w:rsidRPr="006B6EBB" w:rsidRDefault="00636FEC" w:rsidP="006B6EBB">
      <w:pPr>
        <w:tabs>
          <w:tab w:val="left" w:pos="284"/>
        </w:tabs>
        <w:jc w:val="both"/>
        <w:rPr>
          <w:rFonts w:eastAsia="Times New Roman" w:cs="Times New Roman"/>
          <w:color w:val="auto"/>
          <w:sz w:val="18"/>
          <w:szCs w:val="18"/>
          <w:bdr w:val="none" w:sz="0" w:space="0" w:color="auto"/>
          <w:lang w:eastAsia="en-GB"/>
        </w:rPr>
      </w:pPr>
      <w:r>
        <w:rPr>
          <w:rFonts w:eastAsia="Times New Roman" w:cs="Times New Roman"/>
          <w:color w:val="auto"/>
          <w:sz w:val="18"/>
          <w:szCs w:val="18"/>
          <w:bdr w:val="none" w:sz="0" w:space="0" w:color="auto"/>
          <w:lang w:eastAsia="en-GB"/>
        </w:rPr>
        <w:t>5.</w:t>
      </w:r>
      <w:r w:rsidR="006B6EBB" w:rsidRPr="006B6EBB">
        <w:rPr>
          <w:rFonts w:eastAsia="Times New Roman" w:cs="Times New Roman"/>
          <w:color w:val="auto"/>
          <w:sz w:val="18"/>
          <w:szCs w:val="18"/>
          <w:bdr w:val="none" w:sz="0" w:space="0" w:color="auto"/>
          <w:lang w:eastAsia="en-GB"/>
        </w:rPr>
        <w:t xml:space="preserve"> L’importo corrisponde al costo totale dell’Azione </w:t>
      </w:r>
      <w:r w:rsidR="00626A0D">
        <w:rPr>
          <w:rFonts w:eastAsia="Times New Roman" w:cs="Times New Roman"/>
          <w:color w:val="auto"/>
          <w:sz w:val="18"/>
          <w:szCs w:val="18"/>
          <w:bdr w:val="none" w:sz="0" w:space="0" w:color="auto"/>
          <w:lang w:eastAsia="en-GB"/>
        </w:rPr>
        <w:t>presente nel</w:t>
      </w:r>
      <w:r w:rsidR="00626A0D" w:rsidRPr="006B6EBB">
        <w:rPr>
          <w:rFonts w:eastAsia="Times New Roman" w:cs="Times New Roman"/>
          <w:color w:val="auto"/>
          <w:sz w:val="18"/>
          <w:szCs w:val="18"/>
          <w:bdr w:val="none" w:sz="0" w:space="0" w:color="auto"/>
          <w:lang w:eastAsia="en-GB"/>
        </w:rPr>
        <w:t xml:space="preserve"> </w:t>
      </w:r>
      <w:r w:rsidR="00626A0D" w:rsidRPr="00180F01">
        <w:rPr>
          <w:rFonts w:eastAsia="Times New Roman" w:cs="Times New Roman"/>
          <w:i/>
          <w:iCs/>
          <w:color w:val="auto"/>
          <w:sz w:val="18"/>
          <w:szCs w:val="18"/>
          <w:bdr w:val="none" w:sz="0" w:space="0" w:color="auto"/>
          <w:lang w:eastAsia="en-GB"/>
        </w:rPr>
        <w:t>Grant Agreement</w:t>
      </w:r>
      <w:r w:rsidR="00626A0D" w:rsidRPr="006B6EBB">
        <w:rPr>
          <w:rFonts w:eastAsia="Times New Roman" w:cs="Times New Roman"/>
          <w:color w:val="auto"/>
          <w:sz w:val="18"/>
          <w:szCs w:val="18"/>
          <w:bdr w:val="none" w:sz="0" w:space="0" w:color="auto"/>
          <w:lang w:eastAsia="en-GB"/>
        </w:rPr>
        <w:t xml:space="preserve"> vigente o definit</w:t>
      </w:r>
      <w:r w:rsidR="003546E9">
        <w:rPr>
          <w:rFonts w:eastAsia="Times New Roman" w:cs="Times New Roman"/>
          <w:color w:val="auto"/>
          <w:sz w:val="18"/>
          <w:szCs w:val="18"/>
          <w:bdr w:val="none" w:sz="0" w:space="0" w:color="auto"/>
          <w:lang w:eastAsia="en-GB"/>
        </w:rPr>
        <w:t xml:space="preserve">ivamente riconosciuto dall’INEA </w:t>
      </w:r>
      <w:r w:rsidR="00626A0D" w:rsidRPr="006B6EBB">
        <w:rPr>
          <w:rFonts w:eastAsia="Times New Roman" w:cs="Times New Roman"/>
          <w:color w:val="auto"/>
          <w:sz w:val="18"/>
          <w:szCs w:val="18"/>
          <w:bdr w:val="none" w:sz="0" w:space="0" w:color="auto"/>
          <w:lang w:eastAsia="en-GB"/>
        </w:rPr>
        <w:t>alla chiusura dell’Azione</w:t>
      </w:r>
      <w:r w:rsidR="004100A7">
        <w:rPr>
          <w:rFonts w:eastAsia="Times New Roman" w:cs="Times New Roman"/>
          <w:color w:val="auto"/>
          <w:sz w:val="18"/>
          <w:szCs w:val="18"/>
          <w:bdr w:val="none" w:sz="0" w:space="0" w:color="auto"/>
          <w:lang w:eastAsia="en-GB"/>
        </w:rPr>
        <w:t>,</w:t>
      </w:r>
      <w:r w:rsidR="00626A0D" w:rsidRPr="006B6EBB">
        <w:rPr>
          <w:rFonts w:eastAsia="Times New Roman" w:cs="Times New Roman"/>
          <w:color w:val="auto"/>
          <w:sz w:val="18"/>
          <w:szCs w:val="18"/>
          <w:bdr w:val="none" w:sz="0" w:space="0" w:color="auto"/>
          <w:lang w:eastAsia="en-GB"/>
        </w:rPr>
        <w:t xml:space="preserve"> </w:t>
      </w:r>
      <w:r w:rsidR="00767928">
        <w:rPr>
          <w:rFonts w:eastAsia="Times New Roman" w:cs="Times New Roman"/>
          <w:color w:val="auto"/>
          <w:sz w:val="18"/>
          <w:szCs w:val="18"/>
          <w:bdr w:val="none" w:sz="0" w:space="0" w:color="auto"/>
          <w:lang w:eastAsia="en-GB"/>
        </w:rPr>
        <w:t>relativo a tutti i beneficiari</w:t>
      </w:r>
      <w:r w:rsidR="006B6EBB" w:rsidRPr="006B6EBB">
        <w:rPr>
          <w:rFonts w:eastAsia="Times New Roman" w:cs="Times New Roman"/>
          <w:color w:val="auto"/>
          <w:sz w:val="18"/>
          <w:szCs w:val="18"/>
          <w:bdr w:val="none" w:sz="0" w:space="0" w:color="auto"/>
          <w:lang w:eastAsia="en-GB"/>
        </w:rPr>
        <w:t xml:space="preserve"> nazionali e, se presenti, internazionali.</w:t>
      </w:r>
    </w:p>
    <w:p w14:paraId="0226FCF0" w14:textId="77777777" w:rsidR="006B6EBB" w:rsidRPr="006B6EBB" w:rsidRDefault="00636FEC" w:rsidP="006B6EBB">
      <w:pPr>
        <w:tabs>
          <w:tab w:val="left" w:pos="284"/>
        </w:tabs>
        <w:jc w:val="both"/>
        <w:rPr>
          <w:rFonts w:eastAsia="Times New Roman" w:cs="Times New Roman"/>
          <w:color w:val="auto"/>
          <w:sz w:val="18"/>
          <w:szCs w:val="18"/>
          <w:bdr w:val="none" w:sz="0" w:space="0" w:color="auto"/>
          <w:lang w:eastAsia="en-GB"/>
        </w:rPr>
      </w:pPr>
      <w:r>
        <w:rPr>
          <w:rFonts w:eastAsia="Times New Roman" w:cs="Times New Roman"/>
          <w:color w:val="auto"/>
          <w:sz w:val="18"/>
          <w:szCs w:val="18"/>
          <w:bdr w:val="none" w:sz="0" w:space="0" w:color="auto"/>
          <w:lang w:eastAsia="en-GB"/>
        </w:rPr>
        <w:t>6.</w:t>
      </w:r>
      <w:r w:rsidR="006B6EBB" w:rsidRPr="006B6EBB">
        <w:rPr>
          <w:rFonts w:eastAsia="Times New Roman" w:cs="Times New Roman"/>
          <w:color w:val="auto"/>
          <w:sz w:val="18"/>
          <w:szCs w:val="18"/>
          <w:bdr w:val="none" w:sz="0" w:space="0" w:color="auto"/>
          <w:lang w:eastAsia="en-GB"/>
        </w:rPr>
        <w:t xml:space="preserve"> L’importo corrisponde al contributo comunitario assegnato all’Azione, mediante </w:t>
      </w:r>
      <w:r w:rsidR="006B6EBB" w:rsidRPr="00180F01">
        <w:rPr>
          <w:rFonts w:eastAsia="Times New Roman" w:cs="Times New Roman"/>
          <w:i/>
          <w:iCs/>
          <w:color w:val="auto"/>
          <w:sz w:val="18"/>
          <w:szCs w:val="18"/>
          <w:bdr w:val="none" w:sz="0" w:space="0" w:color="auto"/>
          <w:lang w:eastAsia="en-GB"/>
        </w:rPr>
        <w:t>Grant Agreement</w:t>
      </w:r>
      <w:r w:rsidR="006B6EBB" w:rsidRPr="006B6EBB">
        <w:rPr>
          <w:rFonts w:eastAsia="Times New Roman" w:cs="Times New Roman"/>
          <w:color w:val="auto"/>
          <w:sz w:val="18"/>
          <w:szCs w:val="18"/>
          <w:bdr w:val="none" w:sz="0" w:space="0" w:color="auto"/>
          <w:lang w:eastAsia="en-GB"/>
        </w:rPr>
        <w:t xml:space="preserve"> vigente o definitivamente riconosciuto dall’INEA alla chiusura dell’Azione,</w:t>
      </w:r>
      <w:r w:rsidR="00767928">
        <w:rPr>
          <w:rFonts w:eastAsia="Times New Roman" w:cs="Times New Roman"/>
          <w:color w:val="auto"/>
          <w:sz w:val="18"/>
          <w:szCs w:val="18"/>
          <w:bdr w:val="none" w:sz="0" w:space="0" w:color="auto"/>
          <w:lang w:eastAsia="en-GB"/>
        </w:rPr>
        <w:t xml:space="preserve"> relativo a tutti i beneficiari</w:t>
      </w:r>
      <w:r w:rsidR="006B6EBB" w:rsidRPr="006B6EBB">
        <w:rPr>
          <w:rFonts w:eastAsia="Times New Roman" w:cs="Times New Roman"/>
          <w:color w:val="auto"/>
          <w:sz w:val="18"/>
          <w:szCs w:val="18"/>
          <w:bdr w:val="none" w:sz="0" w:space="0" w:color="auto"/>
          <w:lang w:eastAsia="en-GB"/>
        </w:rPr>
        <w:t xml:space="preserve"> nazionali e, se presenti, internazionali.</w:t>
      </w:r>
    </w:p>
    <w:p w14:paraId="2CC24128" w14:textId="77777777" w:rsidR="006B6EBB" w:rsidRPr="00644727" w:rsidRDefault="006B6EBB" w:rsidP="006B6EBB">
      <w:pPr>
        <w:tabs>
          <w:tab w:val="left" w:pos="284"/>
        </w:tabs>
        <w:jc w:val="both"/>
        <w:rPr>
          <w:rFonts w:eastAsia="Times New Roman" w:cs="Times New Roman"/>
          <w:color w:val="000000" w:themeColor="text1"/>
          <w:sz w:val="18"/>
          <w:szCs w:val="18"/>
          <w:bdr w:val="none" w:sz="0" w:space="0" w:color="auto"/>
          <w:lang w:eastAsia="en-GB"/>
        </w:rPr>
      </w:pPr>
      <w:r w:rsidRPr="006B6EBB">
        <w:rPr>
          <w:rFonts w:eastAsia="Times New Roman" w:cs="Times New Roman"/>
          <w:color w:val="auto"/>
          <w:sz w:val="18"/>
          <w:szCs w:val="18"/>
          <w:bdr w:val="none" w:sz="0" w:space="0" w:color="auto"/>
          <w:lang w:eastAsia="en-GB"/>
        </w:rPr>
        <w:t>7</w:t>
      </w:r>
      <w:r w:rsidR="00636FEC">
        <w:rPr>
          <w:rFonts w:eastAsia="Times New Roman" w:cs="Times New Roman"/>
          <w:color w:val="auto"/>
          <w:sz w:val="18"/>
          <w:szCs w:val="18"/>
          <w:bdr w:val="none" w:sz="0" w:space="0" w:color="auto"/>
          <w:lang w:eastAsia="en-GB"/>
        </w:rPr>
        <w:t>.</w:t>
      </w:r>
      <w:r w:rsidRPr="006B6EBB">
        <w:rPr>
          <w:rFonts w:eastAsia="Times New Roman" w:cs="Times New Roman"/>
          <w:color w:val="auto"/>
          <w:sz w:val="18"/>
          <w:szCs w:val="18"/>
          <w:bdr w:val="none" w:sz="0" w:space="0" w:color="auto"/>
          <w:lang w:eastAsia="en-GB"/>
        </w:rPr>
        <w:t xml:space="preserve"> L’importo corrisponde al contributo comu</w:t>
      </w:r>
      <w:r w:rsidR="003546E9">
        <w:rPr>
          <w:rFonts w:eastAsia="Times New Roman" w:cs="Times New Roman"/>
          <w:color w:val="auto"/>
          <w:sz w:val="18"/>
          <w:szCs w:val="18"/>
          <w:bdr w:val="none" w:sz="0" w:space="0" w:color="auto"/>
          <w:lang w:eastAsia="en-GB"/>
        </w:rPr>
        <w:t xml:space="preserve">nitario incassato al </w:t>
      </w:r>
      <w:r w:rsidR="003546E9" w:rsidRPr="00644727">
        <w:rPr>
          <w:rFonts w:eastAsia="Times New Roman" w:cs="Times New Roman"/>
          <w:color w:val="000000" w:themeColor="text1"/>
          <w:sz w:val="18"/>
          <w:szCs w:val="18"/>
          <w:bdr w:val="none" w:sz="0" w:space="0" w:color="auto"/>
          <w:lang w:eastAsia="en-GB"/>
        </w:rPr>
        <w:t>30.04.2020</w:t>
      </w:r>
      <w:r w:rsidRPr="00644727">
        <w:rPr>
          <w:rFonts w:eastAsia="Times New Roman" w:cs="Times New Roman"/>
          <w:color w:val="000000" w:themeColor="text1"/>
          <w:sz w:val="18"/>
          <w:szCs w:val="18"/>
          <w:bdr w:val="none" w:sz="0" w:space="0" w:color="auto"/>
          <w:lang w:eastAsia="en-GB"/>
        </w:rPr>
        <w:t xml:space="preserve"> relativo ai soli beneficiari italiani. </w:t>
      </w:r>
      <w:r w:rsidR="00ED7972" w:rsidRPr="00644727">
        <w:rPr>
          <w:rFonts w:eastAsia="Times New Roman" w:cs="Times New Roman"/>
          <w:color w:val="000000" w:themeColor="text1"/>
          <w:sz w:val="18"/>
          <w:szCs w:val="18"/>
          <w:bdr w:val="none" w:sz="0" w:space="0" w:color="auto"/>
          <w:lang w:eastAsia="en-GB"/>
        </w:rPr>
        <w:t>Un</w:t>
      </w:r>
      <w:r w:rsidR="00545D30" w:rsidRPr="00644727">
        <w:rPr>
          <w:rFonts w:eastAsia="Times New Roman" w:cs="Times New Roman"/>
          <w:color w:val="000000" w:themeColor="text1"/>
          <w:sz w:val="18"/>
          <w:szCs w:val="18"/>
          <w:bdr w:val="none" w:sz="0" w:space="0" w:color="auto"/>
          <w:lang w:eastAsia="en-GB"/>
        </w:rPr>
        <w:t xml:space="preserve"> importo maggiore rispetto al</w:t>
      </w:r>
      <w:r w:rsidRPr="00644727">
        <w:rPr>
          <w:rFonts w:eastAsia="Times New Roman" w:cs="Times New Roman"/>
          <w:color w:val="000000" w:themeColor="text1"/>
          <w:sz w:val="18"/>
          <w:szCs w:val="18"/>
          <w:bdr w:val="none" w:sz="0" w:space="0" w:color="auto"/>
          <w:lang w:eastAsia="en-GB"/>
        </w:rPr>
        <w:t xml:space="preserve"> contributo comunitario assegnato IT (f) può dipendere da accordi interni al </w:t>
      </w:r>
      <w:r w:rsidR="00877ABE" w:rsidRPr="00644727">
        <w:rPr>
          <w:rFonts w:eastAsia="Times New Roman" w:cs="Times New Roman"/>
          <w:color w:val="000000" w:themeColor="text1"/>
          <w:sz w:val="18"/>
          <w:szCs w:val="18"/>
          <w:bdr w:val="none" w:sz="0" w:space="0" w:color="auto"/>
          <w:lang w:eastAsia="en-GB"/>
        </w:rPr>
        <w:t xml:space="preserve">Partenariato </w:t>
      </w:r>
      <w:r w:rsidR="00ED7972" w:rsidRPr="00644727">
        <w:rPr>
          <w:rFonts w:eastAsia="Times New Roman" w:cs="Times New Roman"/>
          <w:color w:val="000000" w:themeColor="text1"/>
          <w:sz w:val="18"/>
          <w:szCs w:val="18"/>
          <w:bdr w:val="none" w:sz="0" w:space="0" w:color="auto"/>
          <w:lang w:eastAsia="en-GB"/>
        </w:rPr>
        <w:t>del progetto.</w:t>
      </w:r>
    </w:p>
    <w:p w14:paraId="334A5754" w14:textId="77777777" w:rsidR="00767928" w:rsidRPr="00644727" w:rsidRDefault="00636FEC" w:rsidP="006B6EBB">
      <w:pPr>
        <w:tabs>
          <w:tab w:val="left" w:pos="284"/>
        </w:tabs>
        <w:jc w:val="both"/>
        <w:rPr>
          <w:rFonts w:eastAsia="Times New Roman" w:cs="Times New Roman"/>
          <w:color w:val="000000" w:themeColor="text1"/>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8.</w:t>
      </w:r>
      <w:r w:rsidR="006B6EBB" w:rsidRPr="00644727">
        <w:rPr>
          <w:rFonts w:eastAsia="Times New Roman" w:cs="Times New Roman"/>
          <w:color w:val="000000" w:themeColor="text1"/>
          <w:sz w:val="18"/>
          <w:szCs w:val="18"/>
          <w:bdr w:val="none" w:sz="0" w:space="0" w:color="auto"/>
          <w:lang w:eastAsia="en-GB"/>
        </w:rPr>
        <w:t xml:space="preserve"> Rapporto percentuale del contributo comunitario incassato (i) rispetto al contributo comunitario assegnato all’Azione (f), relativo ai soli beneficiari italiani (j=i/f).</w:t>
      </w:r>
      <w:r w:rsidR="00ED7972" w:rsidRPr="00644727">
        <w:rPr>
          <w:rFonts w:eastAsia="Times New Roman" w:cs="Times New Roman"/>
          <w:color w:val="000000" w:themeColor="text1"/>
          <w:sz w:val="18"/>
          <w:szCs w:val="18"/>
          <w:bdr w:val="none" w:sz="0" w:space="0" w:color="auto"/>
          <w:lang w:eastAsia="en-GB"/>
        </w:rPr>
        <w:t xml:space="preserve"> Un valore superiore al 100% può dipendere da accordi interni al</w:t>
      </w:r>
      <w:r w:rsidR="00877ABE" w:rsidRPr="00644727">
        <w:rPr>
          <w:rFonts w:eastAsia="Times New Roman" w:cs="Times New Roman"/>
          <w:color w:val="000000" w:themeColor="text1"/>
          <w:sz w:val="18"/>
          <w:szCs w:val="18"/>
          <w:bdr w:val="none" w:sz="0" w:space="0" w:color="auto"/>
          <w:lang w:eastAsia="en-GB"/>
        </w:rPr>
        <w:t xml:space="preserve"> P</w:t>
      </w:r>
      <w:r w:rsidR="00ED7972" w:rsidRPr="00644727">
        <w:rPr>
          <w:rFonts w:eastAsia="Times New Roman" w:cs="Times New Roman"/>
          <w:color w:val="000000" w:themeColor="text1"/>
          <w:sz w:val="18"/>
          <w:szCs w:val="18"/>
          <w:bdr w:val="none" w:sz="0" w:space="0" w:color="auto"/>
          <w:lang w:eastAsia="en-GB"/>
        </w:rPr>
        <w:t>artenariato del progetto.</w:t>
      </w:r>
    </w:p>
    <w:p w14:paraId="4604FA0C" w14:textId="77777777" w:rsidR="006B6EBB" w:rsidRPr="00644727" w:rsidRDefault="00636FEC" w:rsidP="006B6EBB">
      <w:pPr>
        <w:tabs>
          <w:tab w:val="left" w:pos="284"/>
        </w:tabs>
        <w:jc w:val="both"/>
        <w:rPr>
          <w:rFonts w:eastAsia="Times New Roman" w:cs="Times New Roman"/>
          <w:color w:val="000000" w:themeColor="text1"/>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9.</w:t>
      </w:r>
      <w:r w:rsidR="006B6EBB" w:rsidRPr="00644727">
        <w:rPr>
          <w:rFonts w:eastAsia="Times New Roman" w:cs="Times New Roman"/>
          <w:color w:val="000000" w:themeColor="text1"/>
          <w:sz w:val="18"/>
          <w:szCs w:val="18"/>
          <w:bdr w:val="none" w:sz="0" w:space="0" w:color="auto"/>
          <w:lang w:eastAsia="en-GB"/>
        </w:rPr>
        <w:t xml:space="preserve"> La variazione del contributo comunitario, se presente, è calcolata come differenza tra il contributo comunitario assegnato mediante </w:t>
      </w:r>
      <w:r w:rsidR="006B6EBB" w:rsidRPr="00644727">
        <w:rPr>
          <w:rFonts w:eastAsia="Times New Roman" w:cs="Times New Roman"/>
          <w:i/>
          <w:iCs/>
          <w:color w:val="000000" w:themeColor="text1"/>
          <w:sz w:val="18"/>
          <w:szCs w:val="18"/>
          <w:bdr w:val="none" w:sz="0" w:space="0" w:color="auto"/>
          <w:lang w:eastAsia="en-GB"/>
        </w:rPr>
        <w:t>Grant Agreement</w:t>
      </w:r>
      <w:r w:rsidR="006B6EBB" w:rsidRPr="00644727">
        <w:rPr>
          <w:rFonts w:eastAsia="Times New Roman" w:cs="Times New Roman"/>
          <w:color w:val="000000" w:themeColor="text1"/>
          <w:sz w:val="18"/>
          <w:szCs w:val="18"/>
          <w:bdr w:val="none" w:sz="0" w:space="0" w:color="auto"/>
          <w:lang w:eastAsia="en-GB"/>
        </w:rPr>
        <w:t xml:space="preserve"> vigente (</w:t>
      </w:r>
      <w:r w:rsidR="00ED7972" w:rsidRPr="00644727">
        <w:rPr>
          <w:rFonts w:eastAsia="Times New Roman" w:cs="Times New Roman"/>
          <w:color w:val="000000" w:themeColor="text1"/>
          <w:sz w:val="18"/>
          <w:szCs w:val="18"/>
          <w:bdr w:val="none" w:sz="0" w:space="0" w:color="auto"/>
          <w:lang w:eastAsia="en-GB"/>
        </w:rPr>
        <w:t xml:space="preserve">GA originario o </w:t>
      </w:r>
      <w:proofErr w:type="spellStart"/>
      <w:r w:rsidR="006B6EBB" w:rsidRPr="00644727">
        <w:rPr>
          <w:rFonts w:eastAsia="Times New Roman" w:cs="Times New Roman"/>
          <w:i/>
          <w:iCs/>
          <w:color w:val="000000" w:themeColor="text1"/>
          <w:sz w:val="18"/>
          <w:szCs w:val="18"/>
          <w:bdr w:val="none" w:sz="0" w:space="0" w:color="auto"/>
          <w:lang w:eastAsia="en-GB"/>
        </w:rPr>
        <w:t>Amendment</w:t>
      </w:r>
      <w:proofErr w:type="spellEnd"/>
      <w:r w:rsidR="006B6EBB" w:rsidRPr="00644727">
        <w:rPr>
          <w:rFonts w:eastAsia="Times New Roman" w:cs="Times New Roman"/>
          <w:color w:val="000000" w:themeColor="text1"/>
          <w:sz w:val="18"/>
          <w:szCs w:val="18"/>
          <w:bdr w:val="none" w:sz="0" w:space="0" w:color="auto"/>
          <w:lang w:eastAsia="en-GB"/>
        </w:rPr>
        <w:t xml:space="preserve"> al </w:t>
      </w:r>
      <w:r w:rsidR="00ED7972" w:rsidRPr="00644727">
        <w:rPr>
          <w:rFonts w:eastAsia="Times New Roman" w:cs="Times New Roman"/>
          <w:color w:val="000000" w:themeColor="text1"/>
          <w:sz w:val="18"/>
          <w:szCs w:val="18"/>
          <w:bdr w:val="none" w:sz="0" w:space="0" w:color="auto"/>
          <w:lang w:eastAsia="en-GB"/>
        </w:rPr>
        <w:t>GA originario</w:t>
      </w:r>
      <w:r w:rsidR="006B6EBB" w:rsidRPr="00644727">
        <w:rPr>
          <w:rFonts w:eastAsia="Times New Roman" w:cs="Times New Roman"/>
          <w:color w:val="000000" w:themeColor="text1"/>
          <w:sz w:val="18"/>
          <w:szCs w:val="18"/>
          <w:bdr w:val="none" w:sz="0" w:space="0" w:color="auto"/>
          <w:lang w:eastAsia="en-GB"/>
        </w:rPr>
        <w:t>) o definitivamente riconosciuto dall’INEA alla chiusura dell’Azione, ed il contributo comunitario assegnato mediante Grant Agreement</w:t>
      </w:r>
      <w:r w:rsidR="00ED7972" w:rsidRPr="00644727">
        <w:rPr>
          <w:rFonts w:eastAsia="Times New Roman" w:cs="Times New Roman"/>
          <w:color w:val="000000" w:themeColor="text1"/>
          <w:sz w:val="18"/>
          <w:szCs w:val="18"/>
          <w:bdr w:val="none" w:sz="0" w:space="0" w:color="auto"/>
          <w:lang w:eastAsia="en-GB"/>
        </w:rPr>
        <w:t xml:space="preserve"> originario</w:t>
      </w:r>
      <w:r w:rsidR="006B6EBB" w:rsidRPr="00644727">
        <w:rPr>
          <w:rFonts w:eastAsia="Times New Roman" w:cs="Times New Roman"/>
          <w:color w:val="000000" w:themeColor="text1"/>
          <w:sz w:val="18"/>
          <w:szCs w:val="18"/>
          <w:bdr w:val="none" w:sz="0" w:space="0" w:color="auto"/>
          <w:lang w:eastAsia="en-GB"/>
        </w:rPr>
        <w:t>.</w:t>
      </w:r>
    </w:p>
    <w:p w14:paraId="47F9719B" w14:textId="77777777" w:rsidR="006B6EBB" w:rsidRPr="00644727" w:rsidRDefault="006B6EBB" w:rsidP="006B6EBB">
      <w:pPr>
        <w:tabs>
          <w:tab w:val="left" w:pos="284"/>
        </w:tabs>
        <w:jc w:val="both"/>
        <w:rPr>
          <w:rFonts w:eastAsia="Times New Roman" w:cs="Times New Roman"/>
          <w:color w:val="000000" w:themeColor="text1"/>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10.</w:t>
      </w:r>
      <w:r w:rsidR="00ED7972" w:rsidRPr="00644727">
        <w:rPr>
          <w:rFonts w:eastAsia="Times New Roman" w:cs="Times New Roman"/>
          <w:color w:val="000000" w:themeColor="text1"/>
          <w:sz w:val="18"/>
          <w:szCs w:val="18"/>
          <w:bdr w:val="none" w:sz="0" w:space="0" w:color="auto"/>
          <w:lang w:eastAsia="en-GB"/>
        </w:rPr>
        <w:t xml:space="preserve"> </w:t>
      </w:r>
      <w:r w:rsidRPr="00644727">
        <w:rPr>
          <w:rFonts w:eastAsia="Times New Roman" w:cs="Times New Roman"/>
          <w:color w:val="000000" w:themeColor="text1"/>
          <w:sz w:val="18"/>
          <w:szCs w:val="18"/>
          <w:bdr w:val="none" w:sz="0" w:space="0" w:color="auto"/>
          <w:lang w:eastAsia="en-GB"/>
        </w:rPr>
        <w:t>L’importo speso si riferisce ai costi dichiarati dai soli beneficiari italiani sino al 31.12.2019. Il dato è tratto dall’ultimo rapporto di avanzamento (</w:t>
      </w:r>
      <w:r w:rsidRPr="00644727">
        <w:rPr>
          <w:rFonts w:eastAsia="Times New Roman" w:cs="Times New Roman"/>
          <w:i/>
          <w:iCs/>
          <w:color w:val="000000" w:themeColor="text1"/>
          <w:sz w:val="18"/>
          <w:szCs w:val="18"/>
          <w:bdr w:val="none" w:sz="0" w:space="0" w:color="auto"/>
          <w:lang w:eastAsia="en-GB"/>
        </w:rPr>
        <w:t>Action Status Report</w:t>
      </w:r>
      <w:r w:rsidRPr="00644727">
        <w:rPr>
          <w:rFonts w:eastAsia="Times New Roman" w:cs="Times New Roman"/>
          <w:color w:val="000000" w:themeColor="text1"/>
          <w:sz w:val="18"/>
          <w:szCs w:val="18"/>
          <w:bdr w:val="none" w:sz="0" w:space="0" w:color="auto"/>
          <w:lang w:eastAsia="en-GB"/>
        </w:rPr>
        <w:t xml:space="preserve"> </w:t>
      </w:r>
      <w:r w:rsidR="00ED7972" w:rsidRPr="00644727">
        <w:rPr>
          <w:rFonts w:eastAsia="Times New Roman" w:cs="Times New Roman"/>
          <w:color w:val="000000" w:themeColor="text1"/>
          <w:sz w:val="18"/>
          <w:szCs w:val="18"/>
          <w:bdr w:val="none" w:sz="0" w:space="0" w:color="auto"/>
          <w:lang w:eastAsia="en-GB"/>
        </w:rPr>
        <w:t>2020</w:t>
      </w:r>
      <w:r w:rsidRPr="00644727">
        <w:rPr>
          <w:rFonts w:eastAsia="Times New Roman" w:cs="Times New Roman"/>
          <w:color w:val="000000" w:themeColor="text1"/>
          <w:sz w:val="18"/>
          <w:szCs w:val="18"/>
          <w:bdr w:val="none" w:sz="0" w:space="0" w:color="auto"/>
          <w:lang w:eastAsia="en-GB"/>
        </w:rPr>
        <w:t>– ASR</w:t>
      </w:r>
      <w:r w:rsidR="00ED7972" w:rsidRPr="00644727">
        <w:rPr>
          <w:rFonts w:eastAsia="Times New Roman" w:cs="Times New Roman"/>
          <w:color w:val="000000" w:themeColor="text1"/>
          <w:sz w:val="18"/>
          <w:szCs w:val="18"/>
          <w:bdr w:val="none" w:sz="0" w:space="0" w:color="auto"/>
          <w:lang w:eastAsia="en-GB"/>
        </w:rPr>
        <w:t xml:space="preserve">2020) </w:t>
      </w:r>
      <w:r w:rsidRPr="00644727">
        <w:rPr>
          <w:rFonts w:eastAsia="Times New Roman" w:cs="Times New Roman"/>
          <w:color w:val="000000" w:themeColor="text1"/>
          <w:sz w:val="18"/>
          <w:szCs w:val="18"/>
          <w:bdr w:val="none" w:sz="0" w:space="0" w:color="auto"/>
          <w:lang w:eastAsia="en-GB"/>
        </w:rPr>
        <w:t xml:space="preserve">o </w:t>
      </w:r>
      <w:r w:rsidR="00ED7972" w:rsidRPr="00644727">
        <w:rPr>
          <w:rFonts w:eastAsia="Times New Roman" w:cs="Times New Roman"/>
          <w:color w:val="000000" w:themeColor="text1"/>
          <w:sz w:val="18"/>
          <w:szCs w:val="18"/>
          <w:bdr w:val="none" w:sz="0" w:space="0" w:color="auto"/>
          <w:lang w:eastAsia="en-GB"/>
        </w:rPr>
        <w:t>dal rapporto finale (</w:t>
      </w:r>
      <w:proofErr w:type="spellStart"/>
      <w:r w:rsidR="00ED7972" w:rsidRPr="00644727">
        <w:rPr>
          <w:rFonts w:eastAsia="Times New Roman" w:cs="Times New Roman"/>
          <w:i/>
          <w:iCs/>
          <w:color w:val="000000" w:themeColor="text1"/>
          <w:sz w:val="18"/>
          <w:szCs w:val="18"/>
          <w:bdr w:val="none" w:sz="0" w:space="0" w:color="auto"/>
          <w:lang w:eastAsia="en-GB"/>
        </w:rPr>
        <w:t>Final</w:t>
      </w:r>
      <w:proofErr w:type="spellEnd"/>
      <w:r w:rsidR="00ED7972" w:rsidRPr="00644727">
        <w:rPr>
          <w:rFonts w:eastAsia="Times New Roman" w:cs="Times New Roman"/>
          <w:i/>
          <w:iCs/>
          <w:color w:val="000000" w:themeColor="text1"/>
          <w:sz w:val="18"/>
          <w:szCs w:val="18"/>
          <w:bdr w:val="none" w:sz="0" w:space="0" w:color="auto"/>
          <w:lang w:eastAsia="en-GB"/>
        </w:rPr>
        <w:t xml:space="preserve"> Report</w:t>
      </w:r>
      <w:r w:rsidR="00ED7972" w:rsidRPr="00644727">
        <w:rPr>
          <w:rFonts w:eastAsia="Times New Roman" w:cs="Times New Roman"/>
          <w:color w:val="000000" w:themeColor="text1"/>
          <w:sz w:val="18"/>
          <w:szCs w:val="18"/>
          <w:bdr w:val="none" w:sz="0" w:space="0" w:color="auto"/>
          <w:lang w:eastAsia="en-GB"/>
        </w:rPr>
        <w:t>)</w:t>
      </w:r>
      <w:r w:rsidRPr="00644727">
        <w:rPr>
          <w:rFonts w:eastAsia="Times New Roman" w:cs="Times New Roman"/>
          <w:color w:val="000000" w:themeColor="text1"/>
          <w:sz w:val="18"/>
          <w:szCs w:val="18"/>
          <w:bdr w:val="none" w:sz="0" w:space="0" w:color="auto"/>
          <w:lang w:eastAsia="en-GB"/>
        </w:rPr>
        <w:t xml:space="preserve"> </w:t>
      </w:r>
      <w:r w:rsidR="00ED7972" w:rsidRPr="00644727">
        <w:rPr>
          <w:rFonts w:eastAsia="Times New Roman" w:cs="Times New Roman"/>
          <w:color w:val="000000" w:themeColor="text1"/>
          <w:sz w:val="18"/>
          <w:szCs w:val="18"/>
          <w:bdr w:val="none" w:sz="0" w:space="0" w:color="auto"/>
          <w:lang w:eastAsia="en-GB"/>
        </w:rPr>
        <w:t>sottomesso all’INEA; se</w:t>
      </w:r>
      <w:r w:rsidRPr="00644727">
        <w:rPr>
          <w:rFonts w:eastAsia="Times New Roman" w:cs="Times New Roman"/>
          <w:color w:val="000000" w:themeColor="text1"/>
          <w:sz w:val="18"/>
          <w:szCs w:val="18"/>
          <w:bdr w:val="none" w:sz="0" w:space="0" w:color="auto"/>
          <w:lang w:eastAsia="en-GB"/>
        </w:rPr>
        <w:t xml:space="preserve"> non disponibile, esso è fornito dai beneficiari stessi.</w:t>
      </w:r>
    </w:p>
    <w:p w14:paraId="47881994" w14:textId="77777777" w:rsidR="006B6EBB" w:rsidRPr="00644727" w:rsidRDefault="006B6EBB" w:rsidP="006B6EBB">
      <w:pPr>
        <w:tabs>
          <w:tab w:val="left" w:pos="284"/>
        </w:tabs>
        <w:jc w:val="both"/>
        <w:rPr>
          <w:rFonts w:eastAsia="Times New Roman" w:cs="Times New Roman"/>
          <w:color w:val="000000" w:themeColor="text1"/>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11.</w:t>
      </w:r>
      <w:r w:rsidR="00131E67" w:rsidRPr="00644727">
        <w:rPr>
          <w:rFonts w:eastAsia="Times New Roman" w:cs="Times New Roman"/>
          <w:color w:val="000000" w:themeColor="text1"/>
          <w:sz w:val="18"/>
          <w:szCs w:val="18"/>
          <w:bdr w:val="none" w:sz="0" w:space="0" w:color="auto"/>
          <w:lang w:eastAsia="en-GB"/>
        </w:rPr>
        <w:t xml:space="preserve"> </w:t>
      </w:r>
      <w:r w:rsidR="00767928" w:rsidRPr="00644727">
        <w:rPr>
          <w:rFonts w:eastAsia="Times New Roman" w:cs="Times New Roman"/>
          <w:color w:val="000000" w:themeColor="text1"/>
          <w:sz w:val="18"/>
          <w:szCs w:val="18"/>
          <w:bdr w:val="none" w:sz="0" w:space="0" w:color="auto"/>
          <w:lang w:eastAsia="en-GB"/>
        </w:rPr>
        <w:t>L’</w:t>
      </w:r>
      <w:r w:rsidRPr="00644727">
        <w:rPr>
          <w:rFonts w:eastAsia="Times New Roman" w:cs="Times New Roman"/>
          <w:color w:val="000000" w:themeColor="text1"/>
          <w:sz w:val="18"/>
          <w:szCs w:val="18"/>
          <w:bdr w:val="none" w:sz="0" w:space="0" w:color="auto"/>
          <w:lang w:eastAsia="en-GB"/>
        </w:rPr>
        <w:t>avanzamento percentuale si riferisce all’intera Azione. Il dato è tratto dall’ultimo rapporto di avanzamento</w:t>
      </w:r>
      <w:r w:rsidR="00545D30" w:rsidRPr="00644727">
        <w:rPr>
          <w:rFonts w:eastAsia="Times New Roman" w:cs="Times New Roman"/>
          <w:color w:val="000000" w:themeColor="text1"/>
          <w:sz w:val="18"/>
          <w:szCs w:val="18"/>
          <w:bdr w:val="none" w:sz="0" w:space="0" w:color="auto"/>
          <w:lang w:eastAsia="en-GB"/>
        </w:rPr>
        <w:t xml:space="preserve"> </w:t>
      </w:r>
      <w:r w:rsidR="00ED7972" w:rsidRPr="00644727">
        <w:rPr>
          <w:rFonts w:eastAsia="Times New Roman" w:cs="Times New Roman"/>
          <w:color w:val="000000" w:themeColor="text1"/>
          <w:sz w:val="18"/>
          <w:szCs w:val="18"/>
          <w:bdr w:val="none" w:sz="0" w:space="0" w:color="auto"/>
          <w:lang w:eastAsia="en-GB"/>
        </w:rPr>
        <w:t>(</w:t>
      </w:r>
      <w:r w:rsidR="00ED7972" w:rsidRPr="00644727">
        <w:rPr>
          <w:rFonts w:eastAsia="Times New Roman" w:cs="Times New Roman"/>
          <w:i/>
          <w:iCs/>
          <w:color w:val="000000" w:themeColor="text1"/>
          <w:sz w:val="18"/>
          <w:szCs w:val="18"/>
          <w:bdr w:val="none" w:sz="0" w:space="0" w:color="auto"/>
          <w:lang w:eastAsia="en-GB"/>
        </w:rPr>
        <w:t>Action Status Report</w:t>
      </w:r>
      <w:r w:rsidR="00ED7972" w:rsidRPr="00644727">
        <w:rPr>
          <w:rFonts w:eastAsia="Times New Roman" w:cs="Times New Roman"/>
          <w:color w:val="000000" w:themeColor="text1"/>
          <w:sz w:val="18"/>
          <w:szCs w:val="18"/>
          <w:bdr w:val="none" w:sz="0" w:space="0" w:color="auto"/>
          <w:lang w:eastAsia="en-GB"/>
        </w:rPr>
        <w:t xml:space="preserve"> 2020– ASR2020) o dal rapporto finale (</w:t>
      </w:r>
      <w:proofErr w:type="spellStart"/>
      <w:r w:rsidR="00ED7972" w:rsidRPr="00644727">
        <w:rPr>
          <w:rFonts w:eastAsia="Times New Roman" w:cs="Times New Roman"/>
          <w:i/>
          <w:iCs/>
          <w:color w:val="000000" w:themeColor="text1"/>
          <w:sz w:val="18"/>
          <w:szCs w:val="18"/>
          <w:bdr w:val="none" w:sz="0" w:space="0" w:color="auto"/>
          <w:lang w:eastAsia="en-GB"/>
        </w:rPr>
        <w:t>Final</w:t>
      </w:r>
      <w:proofErr w:type="spellEnd"/>
      <w:r w:rsidR="00ED7972" w:rsidRPr="00644727">
        <w:rPr>
          <w:rFonts w:eastAsia="Times New Roman" w:cs="Times New Roman"/>
          <w:i/>
          <w:iCs/>
          <w:color w:val="000000" w:themeColor="text1"/>
          <w:sz w:val="18"/>
          <w:szCs w:val="18"/>
          <w:bdr w:val="none" w:sz="0" w:space="0" w:color="auto"/>
          <w:lang w:eastAsia="en-GB"/>
        </w:rPr>
        <w:t xml:space="preserve"> Report</w:t>
      </w:r>
      <w:r w:rsidR="00ED7972" w:rsidRPr="00644727">
        <w:rPr>
          <w:rFonts w:eastAsia="Times New Roman" w:cs="Times New Roman"/>
          <w:color w:val="000000" w:themeColor="text1"/>
          <w:sz w:val="18"/>
          <w:szCs w:val="18"/>
          <w:bdr w:val="none" w:sz="0" w:space="0" w:color="auto"/>
          <w:lang w:eastAsia="en-GB"/>
        </w:rPr>
        <w:t xml:space="preserve">) </w:t>
      </w:r>
      <w:r w:rsidRPr="00644727">
        <w:rPr>
          <w:rFonts w:eastAsia="Times New Roman" w:cs="Times New Roman"/>
          <w:color w:val="000000" w:themeColor="text1"/>
          <w:sz w:val="18"/>
          <w:szCs w:val="18"/>
          <w:bdr w:val="none" w:sz="0" w:space="0" w:color="auto"/>
          <w:lang w:eastAsia="en-GB"/>
        </w:rPr>
        <w:t>sottomesso all’INEA</w:t>
      </w:r>
      <w:r w:rsidR="00ED7972" w:rsidRPr="00644727">
        <w:rPr>
          <w:rFonts w:eastAsia="Times New Roman" w:cs="Times New Roman"/>
          <w:color w:val="000000" w:themeColor="text1"/>
          <w:sz w:val="18"/>
          <w:szCs w:val="18"/>
          <w:bdr w:val="none" w:sz="0" w:space="0" w:color="auto"/>
          <w:lang w:eastAsia="en-GB"/>
        </w:rPr>
        <w:t>;</w:t>
      </w:r>
      <w:r w:rsidRPr="00644727">
        <w:rPr>
          <w:rFonts w:eastAsia="Times New Roman" w:cs="Times New Roman"/>
          <w:color w:val="000000" w:themeColor="text1"/>
          <w:sz w:val="18"/>
          <w:szCs w:val="18"/>
          <w:bdr w:val="none" w:sz="0" w:space="0" w:color="auto"/>
          <w:lang w:eastAsia="en-GB"/>
        </w:rPr>
        <w:t xml:space="preserve"> se non disponibile, esso è fornito dai beneficiari stessi.</w:t>
      </w:r>
      <w:r w:rsidR="00131E67" w:rsidRPr="00644727">
        <w:rPr>
          <w:rFonts w:eastAsia="Times New Roman" w:cs="Times New Roman"/>
          <w:color w:val="000000" w:themeColor="text1"/>
          <w:sz w:val="18"/>
          <w:szCs w:val="18"/>
          <w:bdr w:val="none" w:sz="0" w:space="0" w:color="auto"/>
          <w:lang w:eastAsia="en-GB"/>
        </w:rPr>
        <w:t xml:space="preserve"> La metodologia di calcolo dell’avanzamento è stata modificata rispetto al 2019.</w:t>
      </w:r>
    </w:p>
    <w:p w14:paraId="4B4A2D8A" w14:textId="77777777" w:rsidR="003546E9" w:rsidRPr="00644727" w:rsidRDefault="006B6EBB" w:rsidP="006B6EBB">
      <w:pPr>
        <w:tabs>
          <w:tab w:val="left" w:pos="284"/>
        </w:tabs>
        <w:jc w:val="both"/>
        <w:rPr>
          <w:rFonts w:eastAsia="Times New Roman" w:cs="Times New Roman"/>
          <w:color w:val="000000" w:themeColor="text1"/>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12. Azioni con attività sul territorio italiano svolte da beneficiari stranieri. Dati tratti da sito web INEA.</w:t>
      </w:r>
    </w:p>
    <w:p w14:paraId="77C1DAC0" w14:textId="77777777" w:rsidR="006B6EBB" w:rsidRPr="00644727" w:rsidRDefault="006B6EBB" w:rsidP="006B6EBB">
      <w:pPr>
        <w:tabs>
          <w:tab w:val="left" w:pos="284"/>
        </w:tabs>
        <w:jc w:val="both"/>
        <w:rPr>
          <w:rFonts w:eastAsia="Times New Roman" w:cs="Times New Roman"/>
          <w:color w:val="000000" w:themeColor="text1"/>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13.</w:t>
      </w:r>
      <w:r w:rsidR="00ED7972" w:rsidRPr="00644727">
        <w:rPr>
          <w:rFonts w:eastAsia="Times New Roman" w:cs="Times New Roman"/>
          <w:color w:val="000000" w:themeColor="text1"/>
          <w:sz w:val="18"/>
          <w:szCs w:val="18"/>
          <w:bdr w:val="none" w:sz="0" w:space="0" w:color="auto"/>
          <w:lang w:eastAsia="en-GB"/>
        </w:rPr>
        <w:t xml:space="preserve"> </w:t>
      </w:r>
      <w:r w:rsidRPr="00644727">
        <w:rPr>
          <w:rFonts w:eastAsia="Times New Roman" w:cs="Times New Roman"/>
          <w:color w:val="000000" w:themeColor="text1"/>
          <w:sz w:val="18"/>
          <w:szCs w:val="18"/>
          <w:bdr w:val="none" w:sz="0" w:space="0" w:color="auto"/>
          <w:lang w:eastAsia="en-GB"/>
        </w:rPr>
        <w:t>Azione chiusa con costi eleggibili riconosciuti ufficialmente da</w:t>
      </w:r>
      <w:r w:rsidR="00ED7972" w:rsidRPr="00644727">
        <w:rPr>
          <w:rFonts w:eastAsia="Times New Roman" w:cs="Times New Roman"/>
          <w:color w:val="000000" w:themeColor="text1"/>
          <w:sz w:val="18"/>
          <w:szCs w:val="18"/>
          <w:bdr w:val="none" w:sz="0" w:space="0" w:color="auto"/>
          <w:lang w:eastAsia="en-GB"/>
        </w:rPr>
        <w:t>ll’</w:t>
      </w:r>
      <w:r w:rsidRPr="00644727">
        <w:rPr>
          <w:rFonts w:eastAsia="Times New Roman" w:cs="Times New Roman"/>
          <w:color w:val="000000" w:themeColor="text1"/>
          <w:sz w:val="18"/>
          <w:szCs w:val="18"/>
          <w:bdr w:val="none" w:sz="0" w:space="0" w:color="auto"/>
          <w:lang w:eastAsia="en-GB"/>
        </w:rPr>
        <w:t>INEA.</w:t>
      </w:r>
    </w:p>
    <w:p w14:paraId="62F1ECDC" w14:textId="77777777" w:rsidR="006B6EBB" w:rsidRPr="006B6EBB" w:rsidRDefault="006B6EBB" w:rsidP="006B6EBB">
      <w:pPr>
        <w:tabs>
          <w:tab w:val="left" w:pos="284"/>
        </w:tabs>
        <w:jc w:val="both"/>
        <w:rPr>
          <w:rFonts w:eastAsia="Times New Roman" w:cs="Times New Roman"/>
          <w:color w:val="auto"/>
          <w:sz w:val="18"/>
          <w:szCs w:val="18"/>
          <w:bdr w:val="none" w:sz="0" w:space="0" w:color="auto"/>
          <w:lang w:eastAsia="en-GB"/>
        </w:rPr>
      </w:pPr>
      <w:r w:rsidRPr="00644727">
        <w:rPr>
          <w:rFonts w:eastAsia="Times New Roman" w:cs="Times New Roman"/>
          <w:color w:val="000000" w:themeColor="text1"/>
          <w:sz w:val="18"/>
          <w:szCs w:val="18"/>
          <w:bdr w:val="none" w:sz="0" w:space="0" w:color="auto"/>
          <w:lang w:eastAsia="en-GB"/>
        </w:rPr>
        <w:t xml:space="preserve">14. L’avanzamento percentuale si riferisce al rapporto tra l’importo speso IT (l) ed il costo totale </w:t>
      </w:r>
      <w:r w:rsidRPr="006B6EBB">
        <w:rPr>
          <w:rFonts w:eastAsia="Times New Roman" w:cs="Times New Roman"/>
          <w:color w:val="auto"/>
          <w:sz w:val="18"/>
          <w:szCs w:val="18"/>
          <w:bdr w:val="none" w:sz="0" w:space="0" w:color="auto"/>
          <w:lang w:eastAsia="en-GB"/>
        </w:rPr>
        <w:t>dell’</w:t>
      </w:r>
      <w:r w:rsidR="00ED7972">
        <w:rPr>
          <w:rFonts w:eastAsia="Times New Roman" w:cs="Times New Roman"/>
          <w:color w:val="auto"/>
          <w:sz w:val="18"/>
          <w:szCs w:val="18"/>
          <w:bdr w:val="none" w:sz="0" w:space="0" w:color="auto"/>
          <w:lang w:eastAsia="en-GB"/>
        </w:rPr>
        <w:t>A</w:t>
      </w:r>
      <w:r w:rsidRPr="006B6EBB">
        <w:rPr>
          <w:rFonts w:eastAsia="Times New Roman" w:cs="Times New Roman"/>
          <w:color w:val="auto"/>
          <w:sz w:val="18"/>
          <w:szCs w:val="18"/>
          <w:bdr w:val="none" w:sz="0" w:space="0" w:color="auto"/>
          <w:lang w:eastAsia="en-GB"/>
        </w:rPr>
        <w:t>zione IT (e).</w:t>
      </w:r>
    </w:p>
    <w:p w14:paraId="7618B086" w14:textId="77777777" w:rsidR="006B6EBB" w:rsidRPr="006B6EBB" w:rsidRDefault="006B6EBB" w:rsidP="006B6EBB">
      <w:pPr>
        <w:tabs>
          <w:tab w:val="left" w:pos="284"/>
        </w:tabs>
        <w:jc w:val="both"/>
        <w:rPr>
          <w:rFonts w:eastAsia="Times New Roman" w:cs="Times New Roman"/>
          <w:color w:val="auto"/>
          <w:sz w:val="18"/>
          <w:szCs w:val="18"/>
          <w:bdr w:val="none" w:sz="0" w:space="0" w:color="auto"/>
          <w:lang w:eastAsia="en-GB"/>
        </w:rPr>
      </w:pPr>
      <w:r w:rsidRPr="006B6EBB">
        <w:rPr>
          <w:rFonts w:eastAsia="Times New Roman" w:cs="Times New Roman"/>
          <w:color w:val="auto"/>
          <w:sz w:val="18"/>
          <w:szCs w:val="18"/>
          <w:bdr w:val="none" w:sz="0" w:space="0" w:color="auto"/>
          <w:lang w:eastAsia="en-GB"/>
        </w:rPr>
        <w:t xml:space="preserve">15. ITS: </w:t>
      </w:r>
      <w:proofErr w:type="spellStart"/>
      <w:r w:rsidRPr="00180F01">
        <w:rPr>
          <w:rFonts w:eastAsia="Times New Roman" w:cs="Times New Roman"/>
          <w:i/>
          <w:iCs/>
          <w:color w:val="auto"/>
          <w:sz w:val="18"/>
          <w:szCs w:val="18"/>
          <w:bdr w:val="none" w:sz="0" w:space="0" w:color="auto"/>
          <w:lang w:eastAsia="en-GB"/>
        </w:rPr>
        <w:t>Intelligent</w:t>
      </w:r>
      <w:proofErr w:type="spellEnd"/>
      <w:r w:rsidRPr="00180F01">
        <w:rPr>
          <w:rFonts w:eastAsia="Times New Roman" w:cs="Times New Roman"/>
          <w:i/>
          <w:iCs/>
          <w:color w:val="auto"/>
          <w:sz w:val="18"/>
          <w:szCs w:val="18"/>
          <w:bdr w:val="none" w:sz="0" w:space="0" w:color="auto"/>
          <w:lang w:eastAsia="en-GB"/>
        </w:rPr>
        <w:t xml:space="preserve"> </w:t>
      </w:r>
      <w:proofErr w:type="spellStart"/>
      <w:r w:rsidRPr="00180F01">
        <w:rPr>
          <w:rFonts w:eastAsia="Times New Roman" w:cs="Times New Roman"/>
          <w:i/>
          <w:iCs/>
          <w:color w:val="auto"/>
          <w:sz w:val="18"/>
          <w:szCs w:val="18"/>
          <w:bdr w:val="none" w:sz="0" w:space="0" w:color="auto"/>
          <w:lang w:eastAsia="en-GB"/>
        </w:rPr>
        <w:t>Transport</w:t>
      </w:r>
      <w:proofErr w:type="spellEnd"/>
      <w:r w:rsidRPr="00180F01">
        <w:rPr>
          <w:rFonts w:eastAsia="Times New Roman" w:cs="Times New Roman"/>
          <w:i/>
          <w:iCs/>
          <w:color w:val="auto"/>
          <w:sz w:val="18"/>
          <w:szCs w:val="18"/>
          <w:bdr w:val="none" w:sz="0" w:space="0" w:color="auto"/>
          <w:lang w:eastAsia="en-GB"/>
        </w:rPr>
        <w:t xml:space="preserve"> System</w:t>
      </w:r>
      <w:r w:rsidRPr="006B6EBB">
        <w:rPr>
          <w:rFonts w:eastAsia="Times New Roman" w:cs="Times New Roman"/>
          <w:color w:val="auto"/>
          <w:sz w:val="18"/>
          <w:szCs w:val="18"/>
          <w:bdr w:val="none" w:sz="0" w:space="0" w:color="auto"/>
          <w:lang w:eastAsia="en-GB"/>
        </w:rPr>
        <w:t>.</w:t>
      </w:r>
    </w:p>
    <w:p w14:paraId="2C390782" w14:textId="77777777" w:rsidR="006B6EBB" w:rsidRPr="006B6EBB" w:rsidRDefault="00AF3C37" w:rsidP="006B6EBB">
      <w:pPr>
        <w:tabs>
          <w:tab w:val="left" w:pos="284"/>
        </w:tabs>
        <w:jc w:val="both"/>
        <w:rPr>
          <w:rFonts w:eastAsia="Times New Roman" w:cs="Times New Roman"/>
          <w:color w:val="auto"/>
          <w:sz w:val="18"/>
          <w:szCs w:val="18"/>
          <w:bdr w:val="none" w:sz="0" w:space="0" w:color="auto"/>
          <w:lang w:eastAsia="en-GB"/>
        </w:rPr>
      </w:pPr>
      <w:r>
        <w:rPr>
          <w:rFonts w:eastAsia="Times New Roman" w:cs="Times New Roman"/>
          <w:color w:val="auto"/>
          <w:sz w:val="18"/>
          <w:szCs w:val="18"/>
          <w:bdr w:val="none" w:sz="0" w:space="0" w:color="auto"/>
          <w:lang w:eastAsia="en-GB"/>
        </w:rPr>
        <w:t>16. Azioni</w:t>
      </w:r>
      <w:r w:rsidR="006B6EBB" w:rsidRPr="006B6EBB">
        <w:rPr>
          <w:rFonts w:eastAsia="Times New Roman" w:cs="Times New Roman"/>
          <w:color w:val="auto"/>
          <w:sz w:val="18"/>
          <w:szCs w:val="18"/>
          <w:bdr w:val="none" w:sz="0" w:space="0" w:color="auto"/>
          <w:lang w:eastAsia="en-GB"/>
        </w:rPr>
        <w:t xml:space="preserve"> con attività su territorio straniero svolte da beneficiari italiani. Dati tratti da sito web INEA.</w:t>
      </w:r>
    </w:p>
    <w:p w14:paraId="22E1BF66" w14:textId="77777777" w:rsidR="006B6EBB" w:rsidRPr="00981E0E" w:rsidRDefault="006B6EBB" w:rsidP="006B6EBB">
      <w:pPr>
        <w:tabs>
          <w:tab w:val="left" w:pos="284"/>
        </w:tabs>
        <w:jc w:val="both"/>
        <w:rPr>
          <w:rFonts w:eastAsia="Times New Roman" w:cs="Times New Roman"/>
          <w:color w:val="auto"/>
          <w:sz w:val="18"/>
          <w:szCs w:val="18"/>
          <w:bdr w:val="none" w:sz="0" w:space="0" w:color="auto"/>
          <w:lang w:eastAsia="en-GB"/>
        </w:rPr>
      </w:pPr>
      <w:r w:rsidRPr="00981E0E">
        <w:rPr>
          <w:rFonts w:eastAsia="Times New Roman" w:cs="Times New Roman"/>
          <w:color w:val="auto"/>
          <w:sz w:val="18"/>
          <w:szCs w:val="18"/>
          <w:bdr w:val="none" w:sz="0" w:space="0" w:color="auto"/>
          <w:lang w:eastAsia="en-GB"/>
        </w:rPr>
        <w:t xml:space="preserve">17. VTMIS: </w:t>
      </w:r>
      <w:r w:rsidRPr="00981E0E">
        <w:rPr>
          <w:rFonts w:eastAsia="Times New Roman" w:cs="Times New Roman"/>
          <w:i/>
          <w:iCs/>
          <w:color w:val="auto"/>
          <w:sz w:val="18"/>
          <w:szCs w:val="18"/>
          <w:bdr w:val="none" w:sz="0" w:space="0" w:color="auto"/>
          <w:lang w:eastAsia="en-GB"/>
        </w:rPr>
        <w:t>Vessel Traffic M</w:t>
      </w:r>
      <w:r w:rsidR="00C56F61" w:rsidRPr="00981E0E">
        <w:rPr>
          <w:rFonts w:eastAsia="Times New Roman" w:cs="Times New Roman"/>
          <w:i/>
          <w:iCs/>
          <w:color w:val="auto"/>
          <w:sz w:val="18"/>
          <w:szCs w:val="18"/>
          <w:bdr w:val="none" w:sz="0" w:space="0" w:color="auto"/>
          <w:lang w:eastAsia="en-GB"/>
        </w:rPr>
        <w:t>onitoring</w:t>
      </w:r>
      <w:r w:rsidRPr="00981E0E">
        <w:rPr>
          <w:rFonts w:eastAsia="Times New Roman" w:cs="Times New Roman"/>
          <w:i/>
          <w:iCs/>
          <w:color w:val="auto"/>
          <w:sz w:val="18"/>
          <w:szCs w:val="18"/>
          <w:bdr w:val="none" w:sz="0" w:space="0" w:color="auto"/>
          <w:lang w:eastAsia="en-GB"/>
        </w:rPr>
        <w:t xml:space="preserve"> and Information System</w:t>
      </w:r>
      <w:r w:rsidRPr="00981E0E">
        <w:rPr>
          <w:rFonts w:eastAsia="Times New Roman" w:cs="Times New Roman"/>
          <w:color w:val="auto"/>
          <w:sz w:val="18"/>
          <w:szCs w:val="18"/>
          <w:bdr w:val="none" w:sz="0" w:space="0" w:color="auto"/>
          <w:lang w:eastAsia="en-GB"/>
        </w:rPr>
        <w:t>.</w:t>
      </w:r>
    </w:p>
    <w:p w14:paraId="4978763C" w14:textId="77777777" w:rsidR="006B6EBB" w:rsidRPr="006B6EBB" w:rsidRDefault="006B6EBB" w:rsidP="006B6EBB">
      <w:pPr>
        <w:tabs>
          <w:tab w:val="left" w:pos="284"/>
        </w:tabs>
        <w:jc w:val="both"/>
        <w:rPr>
          <w:rFonts w:eastAsia="Times New Roman" w:cs="Times New Roman"/>
          <w:color w:val="auto"/>
          <w:sz w:val="18"/>
          <w:szCs w:val="18"/>
          <w:bdr w:val="none" w:sz="0" w:space="0" w:color="auto"/>
          <w:lang w:eastAsia="en-GB"/>
        </w:rPr>
      </w:pPr>
      <w:r w:rsidRPr="006B6EBB">
        <w:rPr>
          <w:rFonts w:eastAsia="Times New Roman" w:cs="Times New Roman"/>
          <w:color w:val="auto"/>
          <w:sz w:val="18"/>
          <w:szCs w:val="18"/>
          <w:bdr w:val="none" w:sz="0" w:space="0" w:color="auto"/>
          <w:lang w:eastAsia="en-GB"/>
        </w:rPr>
        <w:t xml:space="preserve">18. </w:t>
      </w:r>
      <w:proofErr w:type="spellStart"/>
      <w:r w:rsidRPr="006B6EBB">
        <w:rPr>
          <w:rFonts w:eastAsia="Times New Roman" w:cs="Times New Roman"/>
          <w:color w:val="auto"/>
          <w:sz w:val="18"/>
          <w:szCs w:val="18"/>
          <w:bdr w:val="none" w:sz="0" w:space="0" w:color="auto"/>
          <w:lang w:eastAsia="en-GB"/>
        </w:rPr>
        <w:t>AdM</w:t>
      </w:r>
      <w:proofErr w:type="spellEnd"/>
      <w:r w:rsidRPr="006B6EBB">
        <w:rPr>
          <w:rFonts w:eastAsia="Times New Roman" w:cs="Times New Roman"/>
          <w:color w:val="auto"/>
          <w:sz w:val="18"/>
          <w:szCs w:val="18"/>
          <w:bdr w:val="none" w:sz="0" w:space="0" w:color="auto"/>
          <w:lang w:eastAsia="en-GB"/>
        </w:rPr>
        <w:t>: Autostrade del Mare.</w:t>
      </w:r>
    </w:p>
    <w:p w14:paraId="2D5CAEE5" w14:textId="77777777" w:rsidR="006B6EBB" w:rsidRPr="00981E0E" w:rsidRDefault="006B6EBB" w:rsidP="006B6EBB">
      <w:pPr>
        <w:tabs>
          <w:tab w:val="left" w:pos="284"/>
        </w:tabs>
        <w:jc w:val="both"/>
        <w:rPr>
          <w:rFonts w:eastAsia="Times New Roman" w:cs="Times New Roman"/>
          <w:i/>
          <w:iCs/>
          <w:color w:val="auto"/>
          <w:sz w:val="18"/>
          <w:szCs w:val="18"/>
          <w:bdr w:val="none" w:sz="0" w:space="0" w:color="auto"/>
          <w:lang w:eastAsia="en-GB"/>
        </w:rPr>
      </w:pPr>
      <w:r w:rsidRPr="00981E0E">
        <w:rPr>
          <w:rFonts w:eastAsia="Times New Roman" w:cs="Times New Roman"/>
          <w:color w:val="auto"/>
          <w:sz w:val="18"/>
          <w:szCs w:val="18"/>
          <w:bdr w:val="none" w:sz="0" w:space="0" w:color="auto"/>
          <w:lang w:eastAsia="en-GB"/>
        </w:rPr>
        <w:t xml:space="preserve">19. RIS: </w:t>
      </w:r>
      <w:r w:rsidRPr="00981E0E">
        <w:rPr>
          <w:rFonts w:eastAsia="Times New Roman" w:cs="Times New Roman"/>
          <w:i/>
          <w:iCs/>
          <w:color w:val="auto"/>
          <w:sz w:val="18"/>
          <w:szCs w:val="18"/>
          <w:bdr w:val="none" w:sz="0" w:space="0" w:color="auto"/>
          <w:lang w:eastAsia="en-GB"/>
        </w:rPr>
        <w:t>River Information System.</w:t>
      </w:r>
    </w:p>
    <w:p w14:paraId="57AE4B86" w14:textId="77777777" w:rsidR="006B6EBB" w:rsidRPr="00981E0E" w:rsidRDefault="006B6EBB" w:rsidP="006B6EBB">
      <w:pPr>
        <w:tabs>
          <w:tab w:val="left" w:pos="284"/>
        </w:tabs>
        <w:jc w:val="both"/>
        <w:rPr>
          <w:rFonts w:eastAsia="Times New Roman" w:cs="Times New Roman"/>
          <w:color w:val="auto"/>
          <w:sz w:val="18"/>
          <w:szCs w:val="18"/>
          <w:bdr w:val="none" w:sz="0" w:space="0" w:color="auto"/>
          <w:lang w:eastAsia="en-GB"/>
        </w:rPr>
      </w:pPr>
      <w:r w:rsidRPr="00981E0E">
        <w:rPr>
          <w:rFonts w:eastAsia="Times New Roman" w:cs="Times New Roman"/>
          <w:color w:val="auto"/>
          <w:sz w:val="18"/>
          <w:szCs w:val="18"/>
          <w:bdr w:val="none" w:sz="0" w:space="0" w:color="auto"/>
          <w:lang w:eastAsia="en-GB"/>
        </w:rPr>
        <w:t xml:space="preserve">20. ATM: </w:t>
      </w:r>
      <w:r w:rsidRPr="00981E0E">
        <w:rPr>
          <w:rFonts w:eastAsia="Times New Roman" w:cs="Times New Roman"/>
          <w:i/>
          <w:iCs/>
          <w:color w:val="auto"/>
          <w:sz w:val="18"/>
          <w:szCs w:val="18"/>
          <w:bdr w:val="none" w:sz="0" w:space="0" w:color="auto"/>
          <w:lang w:eastAsia="en-GB"/>
        </w:rPr>
        <w:t>Air Traffic Management</w:t>
      </w:r>
    </w:p>
    <w:p w14:paraId="549446B2" w14:textId="77777777" w:rsidR="006B6EBB" w:rsidRPr="006B6EBB" w:rsidRDefault="006B6EBB" w:rsidP="006B6EBB">
      <w:pPr>
        <w:tabs>
          <w:tab w:val="left" w:pos="284"/>
        </w:tabs>
        <w:jc w:val="both"/>
        <w:rPr>
          <w:rFonts w:eastAsia="Times New Roman" w:cs="Times New Roman"/>
          <w:color w:val="auto"/>
          <w:sz w:val="18"/>
          <w:szCs w:val="18"/>
          <w:bdr w:val="none" w:sz="0" w:space="0" w:color="auto"/>
          <w:lang w:eastAsia="en-GB"/>
        </w:rPr>
      </w:pPr>
      <w:proofErr w:type="spellStart"/>
      <w:r w:rsidRPr="006B6EBB">
        <w:rPr>
          <w:rFonts w:eastAsia="Times New Roman" w:cs="Times New Roman"/>
          <w:color w:val="auto"/>
          <w:sz w:val="18"/>
          <w:szCs w:val="18"/>
          <w:bdr w:val="none" w:sz="0" w:space="0" w:color="auto"/>
          <w:lang w:eastAsia="en-GB"/>
        </w:rPr>
        <w:t>n.d.</w:t>
      </w:r>
      <w:proofErr w:type="spellEnd"/>
      <w:r w:rsidRPr="006B6EBB">
        <w:rPr>
          <w:rFonts w:eastAsia="Times New Roman" w:cs="Times New Roman"/>
          <w:color w:val="auto"/>
          <w:sz w:val="18"/>
          <w:szCs w:val="18"/>
          <w:bdr w:val="none" w:sz="0" w:space="0" w:color="auto"/>
          <w:lang w:eastAsia="en-GB"/>
        </w:rPr>
        <w:t>: dato non disponibile.</w:t>
      </w:r>
    </w:p>
    <w:p w14:paraId="5768ED89" w14:textId="77777777" w:rsidR="006B6EBB" w:rsidRDefault="006B6EBB" w:rsidP="006B6EBB">
      <w:pPr>
        <w:tabs>
          <w:tab w:val="left" w:pos="284"/>
        </w:tabs>
        <w:jc w:val="both"/>
        <w:rPr>
          <w:rFonts w:eastAsia="Times New Roman" w:cs="Times New Roman"/>
          <w:color w:val="auto"/>
          <w:sz w:val="18"/>
          <w:szCs w:val="18"/>
          <w:bdr w:val="none" w:sz="0" w:space="0" w:color="auto"/>
          <w:lang w:eastAsia="en-GB"/>
        </w:rPr>
      </w:pPr>
      <w:r w:rsidRPr="006B6EBB">
        <w:rPr>
          <w:rFonts w:eastAsia="Times New Roman" w:cs="Times New Roman"/>
          <w:color w:val="auto"/>
          <w:sz w:val="18"/>
          <w:szCs w:val="18"/>
          <w:bdr w:val="none" w:sz="0" w:space="0" w:color="auto"/>
          <w:lang w:eastAsia="en-GB"/>
        </w:rPr>
        <w:t>n.a.: dato non applicabile.</w:t>
      </w:r>
    </w:p>
    <w:p w14:paraId="6F6D768F" w14:textId="77777777" w:rsidR="006B6EBB" w:rsidRPr="006B6EBB" w:rsidRDefault="006B6EBB" w:rsidP="006B6EBB">
      <w:pPr>
        <w:tabs>
          <w:tab w:val="left" w:pos="284"/>
        </w:tabs>
        <w:jc w:val="both"/>
        <w:rPr>
          <w:rFonts w:eastAsia="Times New Roman" w:cs="Times New Roman"/>
          <w:color w:val="auto"/>
          <w:sz w:val="18"/>
          <w:szCs w:val="18"/>
          <w:bdr w:val="none" w:sz="0" w:space="0" w:color="auto"/>
          <w:lang w:eastAsia="en-GB"/>
        </w:rPr>
      </w:pPr>
      <w:r w:rsidRPr="00957084">
        <w:rPr>
          <w:rFonts w:eastAsia="Times New Roman" w:cs="Times New Roman"/>
          <w:i/>
          <w:color w:val="auto"/>
          <w:sz w:val="18"/>
          <w:szCs w:val="18"/>
          <w:bdr w:val="none" w:sz="0" w:space="0" w:color="auto"/>
          <w:lang w:eastAsia="en-GB"/>
        </w:rPr>
        <w:t>Fonte:</w:t>
      </w:r>
      <w:r w:rsidRPr="006B6EBB">
        <w:rPr>
          <w:rFonts w:eastAsia="Times New Roman" w:cs="Times New Roman"/>
          <w:color w:val="auto"/>
          <w:sz w:val="18"/>
          <w:szCs w:val="18"/>
          <w:bdr w:val="none" w:sz="0" w:space="0" w:color="auto"/>
          <w:lang w:eastAsia="en-GB"/>
        </w:rPr>
        <w:t xml:space="preserve"> Ministero delle Infrastrutture e dei Trasporti</w:t>
      </w:r>
      <w:r w:rsidR="00644727">
        <w:rPr>
          <w:rFonts w:eastAsia="Times New Roman" w:cs="Times New Roman"/>
          <w:color w:val="auto"/>
          <w:sz w:val="18"/>
          <w:szCs w:val="18"/>
          <w:bdr w:val="none" w:sz="0" w:space="0" w:color="auto"/>
          <w:lang w:eastAsia="en-GB"/>
        </w:rPr>
        <w:t>.</w:t>
      </w:r>
    </w:p>
    <w:sectPr w:rsidR="006B6EBB" w:rsidRPr="006B6EBB">
      <w:pgSz w:w="11900" w:h="16840"/>
      <w:pgMar w:top="567" w:right="720" w:bottom="425" w:left="851" w:header="709" w:footer="1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A7CEB" w14:textId="77777777" w:rsidR="00B1073E" w:rsidRDefault="00B1073E">
      <w:r>
        <w:separator/>
      </w:r>
    </w:p>
  </w:endnote>
  <w:endnote w:type="continuationSeparator" w:id="0">
    <w:p w14:paraId="4D993522" w14:textId="77777777" w:rsidR="00B1073E" w:rsidRDefault="00B1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1090C" w14:textId="77777777" w:rsidR="00B1073E" w:rsidRDefault="00B1073E">
      <w:r>
        <w:separator/>
      </w:r>
    </w:p>
  </w:footnote>
  <w:footnote w:type="continuationSeparator" w:id="0">
    <w:p w14:paraId="7224BB8A" w14:textId="77777777" w:rsidR="00B1073E" w:rsidRDefault="00B1073E">
      <w:r>
        <w:continuationSeparator/>
      </w:r>
    </w:p>
  </w:footnote>
  <w:footnote w:type="continuationNotice" w:id="1">
    <w:p w14:paraId="343B8A2A" w14:textId="77777777" w:rsidR="00B1073E" w:rsidRDefault="00B1073E"/>
  </w:footnote>
  <w:footnote w:id="2">
    <w:p w14:paraId="3A8242C4" w14:textId="77777777" w:rsidR="001E0952" w:rsidRDefault="001E0952" w:rsidP="00F31C86">
      <w:pPr>
        <w:jc w:val="both"/>
      </w:pPr>
      <w:r>
        <w:t xml:space="preserve"> </w:t>
      </w:r>
      <w:r w:rsidRPr="009965F2">
        <w:rPr>
          <w:color w:val="FF0000"/>
          <w:vertAlign w:val="superscript"/>
        </w:rPr>
        <w:t>(</w:t>
      </w:r>
      <w:r w:rsidRPr="009965F2">
        <w:rPr>
          <w:color w:val="FF0000"/>
          <w:u w:color="0000FF"/>
          <w:vertAlign w:val="superscript"/>
        </w:rPr>
        <w:footnoteRef/>
      </w:r>
      <w:r w:rsidRPr="009965F2">
        <w:rPr>
          <w:color w:val="FF0000"/>
          <w:vertAlign w:val="superscript"/>
        </w:rPr>
        <w:t>)</w:t>
      </w:r>
      <w:r>
        <w:t xml:space="preserve"> </w:t>
      </w:r>
      <w:r>
        <w:rPr>
          <w:sz w:val="16"/>
          <w:szCs w:val="16"/>
        </w:rPr>
        <w:t xml:space="preserve">Capitolo redatto dalla Divisione IV - Reti e Corridoi Transeuropei - Direzione Generale per lo Sviluppo del Territorio, la Programmazione ed i Progetti Internazionali - Ministero delle Infrastrutture e dei Trasporti e da RAM Logistica Infrastrutture e Trasporti Spa. Si ringraziano il Direttore Generale Dott.ssa Bernadette Veca, l’Ing. Federica Polce, l’Ing. Angela Schieda, il Geom. Claudio Di Lelio, la Dott.ssa Delia Macor, la Rag. Silvia Fasciolo, la Rag. Roberta D’Amicone, la Dott.ssa Arianna Norcini Pala, il Dott. Roberto Mencarelli, la Dott.ssa Manuela Bistolfi e la Dott.ssa Concetta Formicola. </w:t>
      </w:r>
    </w:p>
  </w:footnote>
  <w:footnote w:id="3">
    <w:p w14:paraId="324825DB" w14:textId="77777777" w:rsidR="001E0952" w:rsidRPr="003479AB" w:rsidRDefault="001E0952">
      <w:pPr>
        <w:jc w:val="both"/>
        <w:rPr>
          <w:color w:val="auto"/>
          <w:sz w:val="16"/>
          <w:szCs w:val="16"/>
        </w:rPr>
      </w:pPr>
      <w:r w:rsidRPr="003479AB">
        <w:rPr>
          <w:color w:val="auto"/>
          <w:sz w:val="20"/>
          <w:szCs w:val="20"/>
          <w:vertAlign w:val="superscript"/>
        </w:rPr>
        <w:t>(</w:t>
      </w:r>
      <w:r w:rsidRPr="003479AB">
        <w:rPr>
          <w:rStyle w:val="Rimandonotaapidipagina"/>
          <w:color w:val="auto"/>
          <w:sz w:val="20"/>
          <w:szCs w:val="20"/>
        </w:rPr>
        <w:footnoteRef/>
      </w:r>
      <w:r w:rsidRPr="003479AB">
        <w:rPr>
          <w:color w:val="auto"/>
          <w:sz w:val="20"/>
          <w:szCs w:val="20"/>
          <w:vertAlign w:val="superscript"/>
        </w:rPr>
        <w:t>)</w:t>
      </w:r>
      <w:r w:rsidRPr="003479AB">
        <w:rPr>
          <w:color w:val="auto"/>
          <w:sz w:val="16"/>
          <w:szCs w:val="16"/>
        </w:rPr>
        <w:t xml:space="preserve"> Cfr.: Capo II e Capo III del Reg. (UE) n. 1315/2013, rispettivamente per la rete </w:t>
      </w:r>
      <w:r w:rsidRPr="003479AB">
        <w:rPr>
          <w:i/>
          <w:color w:val="auto"/>
          <w:sz w:val="16"/>
          <w:szCs w:val="16"/>
        </w:rPr>
        <w:t>Comprehensiv</w:t>
      </w:r>
      <w:r w:rsidRPr="003479AB">
        <w:rPr>
          <w:color w:val="auto"/>
          <w:sz w:val="16"/>
          <w:szCs w:val="16"/>
        </w:rPr>
        <w:t xml:space="preserve">e e </w:t>
      </w:r>
      <w:r w:rsidRPr="003479AB">
        <w:rPr>
          <w:i/>
          <w:color w:val="auto"/>
          <w:sz w:val="16"/>
          <w:szCs w:val="16"/>
        </w:rPr>
        <w:t>Core</w:t>
      </w:r>
      <w:r w:rsidRPr="003479AB">
        <w:rPr>
          <w:color w:val="auto"/>
          <w:sz w:val="16"/>
          <w:szCs w:val="16"/>
        </w:rPr>
        <w:t>.</w:t>
      </w:r>
    </w:p>
  </w:footnote>
  <w:footnote w:id="4">
    <w:p w14:paraId="14E1156F" w14:textId="77777777" w:rsidR="001E0952" w:rsidRPr="00F6434E" w:rsidRDefault="001E0952">
      <w:pPr>
        <w:pStyle w:val="Testonotaapidipagina"/>
        <w:rPr>
          <w:rFonts w:eastAsia="Arial Unicode MS" w:cs="Arial Unicode MS"/>
          <w:sz w:val="16"/>
          <w:szCs w:val="16"/>
        </w:rPr>
      </w:pPr>
      <w:r w:rsidRPr="003479AB">
        <w:rPr>
          <w:rFonts w:eastAsia="Arial Unicode MS" w:cs="Arial Unicode MS"/>
          <w:color w:val="auto"/>
          <w:vertAlign w:val="superscript"/>
        </w:rPr>
        <w:t>(</w:t>
      </w:r>
      <w:r w:rsidRPr="003479AB">
        <w:rPr>
          <w:rFonts w:eastAsia="Arial Unicode MS" w:cs="Arial Unicode MS"/>
          <w:color w:val="auto"/>
          <w:vertAlign w:val="superscript"/>
        </w:rPr>
        <w:footnoteRef/>
      </w:r>
      <w:r w:rsidRPr="003479AB">
        <w:rPr>
          <w:rFonts w:eastAsia="Arial Unicode MS" w:cs="Arial Unicode MS"/>
          <w:color w:val="auto"/>
          <w:vertAlign w:val="superscript"/>
        </w:rPr>
        <w:t>)</w:t>
      </w:r>
      <w:r w:rsidRPr="003479AB">
        <w:rPr>
          <w:rFonts w:eastAsia="Arial Unicode MS" w:cs="Arial Unicode MS"/>
          <w:color w:val="auto"/>
          <w:sz w:val="16"/>
          <w:szCs w:val="16"/>
        </w:rPr>
        <w:t xml:space="preserve"> Il riesame </w:t>
      </w:r>
      <w:r w:rsidRPr="00231B40">
        <w:rPr>
          <w:rFonts w:eastAsia="Arial Unicode MS" w:cs="Arial Unicode MS"/>
          <w:sz w:val="16"/>
          <w:szCs w:val="16"/>
        </w:rPr>
        <w:t xml:space="preserve">della rete centrale </w:t>
      </w:r>
      <w:r>
        <w:rPr>
          <w:rFonts w:eastAsia="Arial Unicode MS" w:cs="Arial Unicode MS"/>
          <w:sz w:val="16"/>
          <w:szCs w:val="16"/>
        </w:rPr>
        <w:t>da parte della Commissione Europea è previsto entro il 2023</w:t>
      </w:r>
      <w:r w:rsidRPr="00F6434E">
        <w:rPr>
          <w:rFonts w:eastAsia="Arial Unicode MS" w:cs="Arial Unicode MS"/>
          <w:sz w:val="16"/>
          <w:szCs w:val="16"/>
        </w:rPr>
        <w:t xml:space="preserve"> (</w:t>
      </w:r>
      <w:r>
        <w:rPr>
          <w:rFonts w:eastAsia="Arial Unicode MS" w:cs="Arial Unicode MS"/>
          <w:sz w:val="16"/>
          <w:szCs w:val="16"/>
        </w:rPr>
        <w:t>ai sensi dell’</w:t>
      </w:r>
      <w:r w:rsidRPr="00F6434E">
        <w:rPr>
          <w:rFonts w:eastAsia="Arial Unicode MS" w:cs="Arial Unicode MS"/>
          <w:sz w:val="16"/>
          <w:szCs w:val="16"/>
        </w:rPr>
        <w:t xml:space="preserve">Art. 54 Reg. 1315/2013). La </w:t>
      </w:r>
      <w:r>
        <w:rPr>
          <w:rFonts w:eastAsia="Arial Unicode MS" w:cs="Arial Unicode MS"/>
          <w:sz w:val="16"/>
          <w:szCs w:val="16"/>
        </w:rPr>
        <w:t>Commissione Europea ha deciso di anticipare tale revisione</w:t>
      </w:r>
      <w:r w:rsidRPr="00F6434E">
        <w:rPr>
          <w:rFonts w:eastAsia="Arial Unicode MS" w:cs="Arial Unicode MS"/>
          <w:sz w:val="16"/>
          <w:szCs w:val="16"/>
        </w:rPr>
        <w:t xml:space="preserve"> al 2021.</w:t>
      </w:r>
      <w:r>
        <w:rPr>
          <w:rFonts w:eastAsia="Arial Unicode MS" w:cs="Arial Unicode MS"/>
          <w:sz w:val="16"/>
          <w:szCs w:val="16"/>
          <w:shd w:val="clear" w:color="auto" w:fill="FFFF00"/>
        </w:rPr>
        <w:t xml:space="preserve"> </w:t>
      </w:r>
    </w:p>
  </w:footnote>
  <w:footnote w:id="5">
    <w:p w14:paraId="19FFF2C2" w14:textId="77777777" w:rsidR="001E0952" w:rsidRPr="00F63DA4" w:rsidRDefault="001E0952">
      <w:pPr>
        <w:pStyle w:val="Testonotaapidipagina"/>
        <w:rPr>
          <w:lang w:val="en-GB"/>
        </w:rPr>
      </w:pPr>
      <w:r w:rsidRPr="009965F2">
        <w:rPr>
          <w:color w:val="FF0000"/>
          <w:vertAlign w:val="superscript"/>
          <w:lang w:val="en-GB"/>
        </w:rPr>
        <w:t>(</w:t>
      </w:r>
      <w:r w:rsidRPr="009965F2">
        <w:rPr>
          <w:rStyle w:val="Rimandonotaapidipagina"/>
          <w:color w:val="FF0000"/>
        </w:rPr>
        <w:footnoteRef/>
      </w:r>
      <w:r w:rsidRPr="009965F2">
        <w:rPr>
          <w:color w:val="FF0000"/>
          <w:vertAlign w:val="superscript"/>
          <w:lang w:val="en-US"/>
        </w:rPr>
        <w:t>)</w:t>
      </w:r>
      <w:r w:rsidRPr="00F63DA4">
        <w:rPr>
          <w:lang w:val="en-GB"/>
        </w:rPr>
        <w:t xml:space="preserve"> </w:t>
      </w:r>
      <w:r w:rsidRPr="00B76067">
        <w:rPr>
          <w:lang w:val="en-GB"/>
        </w:rPr>
        <w:t>2017 Eurostat data for GDP at current market prices by NUTS 2 regions of the EU, located along the corridor, excluding Switzerland</w:t>
      </w:r>
    </w:p>
  </w:footnote>
  <w:footnote w:id="6">
    <w:p w14:paraId="0B10AF22" w14:textId="77777777" w:rsidR="001E0952" w:rsidRDefault="001E0952" w:rsidP="00F63DA4">
      <w:pPr>
        <w:pStyle w:val="Testonotaapidipagina"/>
        <w:jc w:val="left"/>
      </w:pPr>
      <w:r w:rsidRPr="009965F2">
        <w:rPr>
          <w:color w:val="FF0000"/>
          <w:vertAlign w:val="superscript"/>
        </w:rPr>
        <w:t>(</w:t>
      </w:r>
      <w:r w:rsidRPr="009965F2">
        <w:rPr>
          <w:rStyle w:val="Rimandonotaapidipagina"/>
          <w:color w:val="FF0000"/>
        </w:rPr>
        <w:footnoteRef/>
      </w:r>
      <w:r w:rsidRPr="009965F2">
        <w:rPr>
          <w:color w:val="FF0000"/>
          <w:vertAlign w:val="superscript"/>
        </w:rPr>
        <w:t>)</w:t>
      </w:r>
      <w:r>
        <w:t xml:space="preserve"> </w:t>
      </w:r>
      <w:r w:rsidRPr="007B65D7">
        <w:rPr>
          <w:rFonts w:eastAsia="Arial Unicode MS" w:cs="Arial Unicode MS"/>
          <w:sz w:val="16"/>
          <w:szCs w:val="16"/>
        </w:rPr>
        <w:t>Fonte sito MISE (</w:t>
      </w:r>
      <w:hyperlink r:id="rId1" w:history="1">
        <w:r w:rsidRPr="007B65D7">
          <w:rPr>
            <w:rFonts w:eastAsia="Arial Unicode MS" w:cs="Arial Unicode MS"/>
            <w:sz w:val="16"/>
            <w:szCs w:val="16"/>
          </w:rPr>
          <w:t>https://www.mise.gov.it/index.php/it/per-i-media/notizie/2039474-italia-cina-di-maio-firma-tre-memorandum-d-intesa-su-belt-and-road-initiative-e-commerce-e-startup</w:t>
        </w:r>
      </w:hyperlink>
      <w:r w:rsidRPr="007B65D7">
        <w:rPr>
          <w:rFonts w:eastAsia="Arial Unicode MS" w:cs="Arial Unicode MS"/>
          <w:sz w:val="16"/>
          <w:szCs w:val="16"/>
        </w:rPr>
        <w:t>)</w:t>
      </w:r>
    </w:p>
  </w:footnote>
  <w:footnote w:id="7">
    <w:p w14:paraId="1A1B56BD" w14:textId="77777777" w:rsidR="001E0952" w:rsidRDefault="001E0952" w:rsidP="00343FB0">
      <w:pPr>
        <w:pStyle w:val="Testonotaapidipagina"/>
      </w:pPr>
      <w:r>
        <w:rPr>
          <w:vertAlign w:val="superscript"/>
        </w:rPr>
        <w:footnoteRef/>
      </w:r>
      <w:r>
        <w:rPr>
          <w:rFonts w:eastAsia="Arial Unicode MS" w:cs="Arial Unicode MS"/>
          <w:sz w:val="16"/>
          <w:szCs w:val="16"/>
          <w:vertAlign w:val="superscript"/>
        </w:rPr>
        <w:t xml:space="preserve"> </w:t>
      </w:r>
      <w:r>
        <w:rPr>
          <w:rFonts w:eastAsia="Arial Unicode MS" w:cs="Arial Unicode MS"/>
          <w:sz w:val="16"/>
          <w:szCs w:val="16"/>
        </w:rPr>
        <w:t xml:space="preserve">Per il finanziamento delle proposte è stata attivata la clausola di flessibilità prevista dal Piano di Lavoro Multi-Annuale che consentiva di incrementare di un importo pari a 115 milioni di euro la cifra stanziata per il bando.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008A2"/>
    <w:multiLevelType w:val="hybridMultilevel"/>
    <w:tmpl w:val="E31EB6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E45C97"/>
    <w:multiLevelType w:val="hybridMultilevel"/>
    <w:tmpl w:val="AC3E50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B84AEB"/>
    <w:multiLevelType w:val="hybridMultilevel"/>
    <w:tmpl w:val="AE06A480"/>
    <w:lvl w:ilvl="0" w:tplc="85EA0594">
      <w:numFmt w:val="bullet"/>
      <w:lvlText w:val="•"/>
      <w:lvlJc w:val="left"/>
      <w:pPr>
        <w:tabs>
          <w:tab w:val="num" w:pos="1134"/>
        </w:tabs>
        <w:ind w:left="425" w:firstLine="284"/>
      </w:pPr>
      <w:rPr>
        <w:rFonts w:ascii="Times New Roman" w:eastAsia="Arial Unicode MS" w:hAnsi="Times New Roman"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B60C06">
      <w:start w:val="1"/>
      <w:numFmt w:val="bullet"/>
      <w:lvlText w:val="o"/>
      <w:lvlJc w:val="left"/>
      <w:pPr>
        <w:tabs>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52EE8E">
      <w:start w:val="1"/>
      <w:numFmt w:val="bullet"/>
      <w:lvlText w:val="▪"/>
      <w:lvlJc w:val="left"/>
      <w:pPr>
        <w:tabs>
          <w:tab w:val="left" w:pos="1134"/>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F0CD06">
      <w:start w:val="1"/>
      <w:numFmt w:val="bullet"/>
      <w:lvlText w:val="•"/>
      <w:lvlJc w:val="left"/>
      <w:pPr>
        <w:tabs>
          <w:tab w:val="left" w:pos="1134"/>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2FBA2">
      <w:start w:val="1"/>
      <w:numFmt w:val="bullet"/>
      <w:lvlText w:val="o"/>
      <w:lvlJc w:val="left"/>
      <w:pPr>
        <w:tabs>
          <w:tab w:val="left" w:pos="1134"/>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2661B0">
      <w:start w:val="1"/>
      <w:numFmt w:val="bullet"/>
      <w:lvlText w:val="▪"/>
      <w:lvlJc w:val="left"/>
      <w:pPr>
        <w:tabs>
          <w:tab w:val="left" w:pos="1134"/>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ECB4C">
      <w:start w:val="1"/>
      <w:numFmt w:val="bullet"/>
      <w:lvlText w:val="•"/>
      <w:lvlJc w:val="left"/>
      <w:pPr>
        <w:tabs>
          <w:tab w:val="left" w:pos="1134"/>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D864A6">
      <w:start w:val="1"/>
      <w:numFmt w:val="bullet"/>
      <w:lvlText w:val="o"/>
      <w:lvlJc w:val="left"/>
      <w:pPr>
        <w:tabs>
          <w:tab w:val="left" w:pos="1134"/>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92134E">
      <w:start w:val="1"/>
      <w:numFmt w:val="bullet"/>
      <w:lvlText w:val="▪"/>
      <w:lvlJc w:val="left"/>
      <w:pPr>
        <w:tabs>
          <w:tab w:val="left" w:pos="1134"/>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B153D5"/>
    <w:multiLevelType w:val="hybridMultilevel"/>
    <w:tmpl w:val="CBDA04E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0AD076BD"/>
    <w:multiLevelType w:val="hybridMultilevel"/>
    <w:tmpl w:val="FE883174"/>
    <w:lvl w:ilvl="0" w:tplc="85EA0594">
      <w:numFmt w:val="bullet"/>
      <w:lvlText w:val="•"/>
      <w:lvlJc w:val="left"/>
      <w:pPr>
        <w:ind w:left="1711" w:hanging="360"/>
      </w:pPr>
      <w:rPr>
        <w:rFonts w:ascii="Times New Roman" w:eastAsia="Arial Unicode MS" w:hAnsi="Times New Roman" w:cs="Times New Roman" w:hint="default"/>
      </w:rPr>
    </w:lvl>
    <w:lvl w:ilvl="1" w:tplc="04090019" w:tentative="1">
      <w:start w:val="1"/>
      <w:numFmt w:val="lowerLetter"/>
      <w:lvlText w:val="%2."/>
      <w:lvlJc w:val="left"/>
      <w:pPr>
        <w:ind w:left="2431" w:hanging="360"/>
      </w:pPr>
    </w:lvl>
    <w:lvl w:ilvl="2" w:tplc="0409001B" w:tentative="1">
      <w:start w:val="1"/>
      <w:numFmt w:val="lowerRoman"/>
      <w:lvlText w:val="%3."/>
      <w:lvlJc w:val="right"/>
      <w:pPr>
        <w:ind w:left="3151" w:hanging="180"/>
      </w:pPr>
    </w:lvl>
    <w:lvl w:ilvl="3" w:tplc="0409000F" w:tentative="1">
      <w:start w:val="1"/>
      <w:numFmt w:val="decimal"/>
      <w:lvlText w:val="%4."/>
      <w:lvlJc w:val="left"/>
      <w:pPr>
        <w:ind w:left="3871" w:hanging="360"/>
      </w:pPr>
    </w:lvl>
    <w:lvl w:ilvl="4" w:tplc="04090019" w:tentative="1">
      <w:start w:val="1"/>
      <w:numFmt w:val="lowerLetter"/>
      <w:lvlText w:val="%5."/>
      <w:lvlJc w:val="left"/>
      <w:pPr>
        <w:ind w:left="4591" w:hanging="360"/>
      </w:pPr>
    </w:lvl>
    <w:lvl w:ilvl="5" w:tplc="0409001B" w:tentative="1">
      <w:start w:val="1"/>
      <w:numFmt w:val="lowerRoman"/>
      <w:lvlText w:val="%6."/>
      <w:lvlJc w:val="right"/>
      <w:pPr>
        <w:ind w:left="5311" w:hanging="180"/>
      </w:pPr>
    </w:lvl>
    <w:lvl w:ilvl="6" w:tplc="0409000F" w:tentative="1">
      <w:start w:val="1"/>
      <w:numFmt w:val="decimal"/>
      <w:lvlText w:val="%7."/>
      <w:lvlJc w:val="left"/>
      <w:pPr>
        <w:ind w:left="6031" w:hanging="360"/>
      </w:pPr>
    </w:lvl>
    <w:lvl w:ilvl="7" w:tplc="04090019" w:tentative="1">
      <w:start w:val="1"/>
      <w:numFmt w:val="lowerLetter"/>
      <w:lvlText w:val="%8."/>
      <w:lvlJc w:val="left"/>
      <w:pPr>
        <w:ind w:left="6751" w:hanging="360"/>
      </w:pPr>
    </w:lvl>
    <w:lvl w:ilvl="8" w:tplc="0409001B" w:tentative="1">
      <w:start w:val="1"/>
      <w:numFmt w:val="lowerRoman"/>
      <w:lvlText w:val="%9."/>
      <w:lvlJc w:val="right"/>
      <w:pPr>
        <w:ind w:left="7471" w:hanging="180"/>
      </w:pPr>
    </w:lvl>
  </w:abstractNum>
  <w:abstractNum w:abstractNumId="5" w15:restartNumberingAfterBreak="0">
    <w:nsid w:val="0CB708C0"/>
    <w:multiLevelType w:val="hybridMultilevel"/>
    <w:tmpl w:val="D430DB46"/>
    <w:lvl w:ilvl="0" w:tplc="484044AC">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0DA109D1"/>
    <w:multiLevelType w:val="hybridMultilevel"/>
    <w:tmpl w:val="9A985026"/>
    <w:styleLink w:val="Stileimportato4"/>
    <w:lvl w:ilvl="0" w:tplc="10B8A7CE">
      <w:start w:val="1"/>
      <w:numFmt w:val="bullet"/>
      <w:lvlText w:val="o"/>
      <w:lvlJc w:val="left"/>
      <w:pPr>
        <w:tabs>
          <w:tab w:val="num" w:pos="993"/>
        </w:tabs>
        <w:ind w:left="284" w:firstLine="425"/>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C3C">
      <w:start w:val="1"/>
      <w:numFmt w:val="bullet"/>
      <w:lvlText w:val="o"/>
      <w:lvlJc w:val="left"/>
      <w:pPr>
        <w:tabs>
          <w:tab w:val="num" w:pos="1429"/>
        </w:tabs>
        <w:ind w:left="720" w:firstLine="1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8092B8">
      <w:start w:val="1"/>
      <w:numFmt w:val="bullet"/>
      <w:lvlText w:val="▪"/>
      <w:lvlJc w:val="left"/>
      <w:pPr>
        <w:tabs>
          <w:tab w:val="left" w:pos="993"/>
          <w:tab w:val="num" w:pos="2149"/>
        </w:tabs>
        <w:ind w:left="1440" w:firstLine="2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82CF62">
      <w:start w:val="1"/>
      <w:numFmt w:val="bullet"/>
      <w:lvlText w:val="•"/>
      <w:lvlJc w:val="left"/>
      <w:pPr>
        <w:tabs>
          <w:tab w:val="left" w:pos="993"/>
          <w:tab w:val="num" w:pos="2869"/>
        </w:tabs>
        <w:ind w:left="2160" w:firstLine="3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7AADBA">
      <w:start w:val="1"/>
      <w:numFmt w:val="bullet"/>
      <w:lvlText w:val="o"/>
      <w:lvlJc w:val="left"/>
      <w:pPr>
        <w:tabs>
          <w:tab w:val="left" w:pos="993"/>
          <w:tab w:val="num" w:pos="3589"/>
        </w:tabs>
        <w:ind w:left="2880" w:firstLine="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F454A4">
      <w:start w:val="1"/>
      <w:numFmt w:val="bullet"/>
      <w:lvlText w:val="▪"/>
      <w:lvlJc w:val="left"/>
      <w:pPr>
        <w:tabs>
          <w:tab w:val="left" w:pos="993"/>
          <w:tab w:val="num" w:pos="4309"/>
        </w:tabs>
        <w:ind w:left="3600" w:firstLine="62"/>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94C9D8">
      <w:start w:val="1"/>
      <w:numFmt w:val="bullet"/>
      <w:lvlText w:val="•"/>
      <w:lvlJc w:val="left"/>
      <w:pPr>
        <w:tabs>
          <w:tab w:val="left" w:pos="993"/>
          <w:tab w:val="num" w:pos="5029"/>
        </w:tabs>
        <w:ind w:left="4320" w:firstLine="7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1422">
      <w:start w:val="1"/>
      <w:numFmt w:val="bullet"/>
      <w:lvlText w:val="o"/>
      <w:lvlJc w:val="left"/>
      <w:pPr>
        <w:tabs>
          <w:tab w:val="left" w:pos="993"/>
          <w:tab w:val="num" w:pos="5749"/>
        </w:tabs>
        <w:ind w:left="5040" w:firstLine="8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F803BC">
      <w:start w:val="1"/>
      <w:numFmt w:val="bullet"/>
      <w:lvlText w:val="▪"/>
      <w:lvlJc w:val="left"/>
      <w:pPr>
        <w:tabs>
          <w:tab w:val="left" w:pos="993"/>
          <w:tab w:val="num" w:pos="6469"/>
        </w:tabs>
        <w:ind w:left="5760" w:firstLine="9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1D41E16"/>
    <w:multiLevelType w:val="hybridMultilevel"/>
    <w:tmpl w:val="BD68DF08"/>
    <w:numStyleLink w:val="Stileimportato2"/>
  </w:abstractNum>
  <w:abstractNum w:abstractNumId="8" w15:restartNumberingAfterBreak="0">
    <w:nsid w:val="12E5070E"/>
    <w:multiLevelType w:val="hybridMultilevel"/>
    <w:tmpl w:val="BD68DF08"/>
    <w:styleLink w:val="Stileimportato2"/>
    <w:lvl w:ilvl="0" w:tplc="DBC25448">
      <w:start w:val="1"/>
      <w:numFmt w:val="bullet"/>
      <w:lvlText w:val="-"/>
      <w:lvlJc w:val="left"/>
      <w:pPr>
        <w:tabs>
          <w:tab w:val="num" w:pos="1134"/>
        </w:tabs>
        <w:ind w:left="425" w:firstLine="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E65784">
      <w:start w:val="1"/>
      <w:numFmt w:val="bullet"/>
      <w:lvlText w:val="o"/>
      <w:lvlJc w:val="left"/>
      <w:pPr>
        <w:tabs>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626F8">
      <w:start w:val="1"/>
      <w:numFmt w:val="bullet"/>
      <w:lvlText w:val="▪"/>
      <w:lvlJc w:val="left"/>
      <w:pPr>
        <w:tabs>
          <w:tab w:val="left" w:pos="1134"/>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0C074A">
      <w:start w:val="1"/>
      <w:numFmt w:val="bullet"/>
      <w:lvlText w:val="•"/>
      <w:lvlJc w:val="left"/>
      <w:pPr>
        <w:tabs>
          <w:tab w:val="left" w:pos="1134"/>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5241CC">
      <w:start w:val="1"/>
      <w:numFmt w:val="bullet"/>
      <w:lvlText w:val="o"/>
      <w:lvlJc w:val="left"/>
      <w:pPr>
        <w:tabs>
          <w:tab w:val="left" w:pos="1134"/>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741002">
      <w:start w:val="1"/>
      <w:numFmt w:val="bullet"/>
      <w:lvlText w:val="▪"/>
      <w:lvlJc w:val="left"/>
      <w:pPr>
        <w:tabs>
          <w:tab w:val="left" w:pos="1134"/>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9B24">
      <w:start w:val="1"/>
      <w:numFmt w:val="bullet"/>
      <w:lvlText w:val="•"/>
      <w:lvlJc w:val="left"/>
      <w:pPr>
        <w:tabs>
          <w:tab w:val="left" w:pos="1134"/>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B4A984">
      <w:start w:val="1"/>
      <w:numFmt w:val="bullet"/>
      <w:lvlText w:val="o"/>
      <w:lvlJc w:val="left"/>
      <w:pPr>
        <w:tabs>
          <w:tab w:val="left" w:pos="1134"/>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FDAE">
      <w:start w:val="1"/>
      <w:numFmt w:val="bullet"/>
      <w:lvlText w:val="▪"/>
      <w:lvlJc w:val="left"/>
      <w:pPr>
        <w:tabs>
          <w:tab w:val="left" w:pos="1134"/>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5A45BB2"/>
    <w:multiLevelType w:val="hybridMultilevel"/>
    <w:tmpl w:val="2FC4FB4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C257F1"/>
    <w:multiLevelType w:val="hybridMultilevel"/>
    <w:tmpl w:val="F824378A"/>
    <w:styleLink w:val="Stileimportato1"/>
    <w:lvl w:ilvl="0" w:tplc="01AC6EBE">
      <w:start w:val="1"/>
      <w:numFmt w:val="bullet"/>
      <w:lvlText w:val="-"/>
      <w:lvlJc w:val="left"/>
      <w:pPr>
        <w:ind w:left="142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C8E9BA">
      <w:start w:val="1"/>
      <w:numFmt w:val="bullet"/>
      <w:lvlText w:val="o"/>
      <w:lvlJc w:val="left"/>
      <w:pPr>
        <w:ind w:left="214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D4F58E">
      <w:start w:val="1"/>
      <w:numFmt w:val="bullet"/>
      <w:lvlText w:val="▪"/>
      <w:lvlJc w:val="left"/>
      <w:pPr>
        <w:ind w:left="286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D8DE88">
      <w:start w:val="1"/>
      <w:numFmt w:val="bullet"/>
      <w:lvlText w:val="•"/>
      <w:lvlJc w:val="left"/>
      <w:pPr>
        <w:ind w:left="358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6013C8">
      <w:start w:val="1"/>
      <w:numFmt w:val="bullet"/>
      <w:lvlText w:val="o"/>
      <w:lvlJc w:val="left"/>
      <w:pPr>
        <w:ind w:left="430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B8DBC0">
      <w:start w:val="1"/>
      <w:numFmt w:val="bullet"/>
      <w:lvlText w:val="▪"/>
      <w:lvlJc w:val="left"/>
      <w:pPr>
        <w:ind w:left="502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2BCE4">
      <w:start w:val="1"/>
      <w:numFmt w:val="bullet"/>
      <w:lvlText w:val="•"/>
      <w:lvlJc w:val="left"/>
      <w:pPr>
        <w:ind w:left="574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78F506">
      <w:start w:val="1"/>
      <w:numFmt w:val="bullet"/>
      <w:lvlText w:val="o"/>
      <w:lvlJc w:val="left"/>
      <w:pPr>
        <w:ind w:left="646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A89928">
      <w:start w:val="1"/>
      <w:numFmt w:val="bullet"/>
      <w:lvlText w:val="▪"/>
      <w:lvlJc w:val="left"/>
      <w:pPr>
        <w:ind w:left="7188"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6D05AFA"/>
    <w:multiLevelType w:val="hybridMultilevel"/>
    <w:tmpl w:val="0938FC5C"/>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E0140C"/>
    <w:multiLevelType w:val="hybridMultilevel"/>
    <w:tmpl w:val="A5BE1E70"/>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565186"/>
    <w:multiLevelType w:val="hybridMultilevel"/>
    <w:tmpl w:val="8800E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B0D0171"/>
    <w:multiLevelType w:val="hybridMultilevel"/>
    <w:tmpl w:val="009E21B2"/>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D587AA1"/>
    <w:multiLevelType w:val="hybridMultilevel"/>
    <w:tmpl w:val="A1E098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39272C"/>
    <w:multiLevelType w:val="hybridMultilevel"/>
    <w:tmpl w:val="EA2C464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235412F1"/>
    <w:multiLevelType w:val="hybridMultilevel"/>
    <w:tmpl w:val="F824378A"/>
    <w:numStyleLink w:val="Stileimportato1"/>
  </w:abstractNum>
  <w:abstractNum w:abstractNumId="18" w15:restartNumberingAfterBreak="0">
    <w:nsid w:val="24410A87"/>
    <w:multiLevelType w:val="hybridMultilevel"/>
    <w:tmpl w:val="314E0320"/>
    <w:lvl w:ilvl="0" w:tplc="85EA0594">
      <w:numFmt w:val="bullet"/>
      <w:lvlText w:val="•"/>
      <w:lvlJc w:val="left"/>
      <w:pPr>
        <w:ind w:left="1004" w:hanging="360"/>
      </w:pPr>
      <w:rPr>
        <w:rFonts w:ascii="Times New Roman" w:eastAsia="Arial Unicode MS"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25973982"/>
    <w:multiLevelType w:val="hybridMultilevel"/>
    <w:tmpl w:val="FB0A3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7D66AFD"/>
    <w:multiLevelType w:val="hybridMultilevel"/>
    <w:tmpl w:val="3FB0A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272A61"/>
    <w:multiLevelType w:val="hybridMultilevel"/>
    <w:tmpl w:val="2362E0DE"/>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839492B"/>
    <w:multiLevelType w:val="hybridMultilevel"/>
    <w:tmpl w:val="6E24DD96"/>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9B4D4A"/>
    <w:multiLevelType w:val="hybridMultilevel"/>
    <w:tmpl w:val="AE6AAA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2AD60DD2"/>
    <w:multiLevelType w:val="hybridMultilevel"/>
    <w:tmpl w:val="BD306D6C"/>
    <w:styleLink w:val="Stileimportato8"/>
    <w:lvl w:ilvl="0" w:tplc="2A3CC3E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7A9E2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EAD0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98E46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E253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70E0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A88290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FA28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921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B2279EE"/>
    <w:multiLevelType w:val="hybridMultilevel"/>
    <w:tmpl w:val="EB0A905A"/>
    <w:lvl w:ilvl="0" w:tplc="85EA0594">
      <w:numFmt w:val="bullet"/>
      <w:lvlText w:val="•"/>
      <w:lvlJc w:val="left"/>
      <w:pPr>
        <w:ind w:left="720" w:hanging="360"/>
      </w:pPr>
      <w:rPr>
        <w:rFonts w:ascii="Times New Roman" w:eastAsia="Arial Unicode MS" w:hAnsi="Times New Roman" w:cs="Times New Roman"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2C0E4493"/>
    <w:multiLevelType w:val="hybridMultilevel"/>
    <w:tmpl w:val="03C2860E"/>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D78152B"/>
    <w:multiLevelType w:val="hybridMultilevel"/>
    <w:tmpl w:val="6CD4585E"/>
    <w:lvl w:ilvl="0" w:tplc="85EA0594">
      <w:numFmt w:val="bullet"/>
      <w:lvlText w:val="•"/>
      <w:lvlJc w:val="left"/>
      <w:pPr>
        <w:ind w:left="862" w:hanging="360"/>
      </w:pPr>
      <w:rPr>
        <w:rFonts w:ascii="Times New Roman" w:eastAsia="Arial Unicode MS"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2EBD323F"/>
    <w:multiLevelType w:val="hybridMultilevel"/>
    <w:tmpl w:val="5F6C2486"/>
    <w:lvl w:ilvl="0" w:tplc="2A2C1F4E">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2F6493A"/>
    <w:multiLevelType w:val="hybridMultilevel"/>
    <w:tmpl w:val="D3F4F28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0" w15:restartNumberingAfterBreak="0">
    <w:nsid w:val="3426543D"/>
    <w:multiLevelType w:val="hybridMultilevel"/>
    <w:tmpl w:val="CBFAD410"/>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7027F6E"/>
    <w:multiLevelType w:val="hybridMultilevel"/>
    <w:tmpl w:val="DB4C7E2A"/>
    <w:lvl w:ilvl="0" w:tplc="85EA0594">
      <w:numFmt w:val="bullet"/>
      <w:lvlText w:val="•"/>
      <w:lvlJc w:val="left"/>
      <w:pPr>
        <w:ind w:left="2846" w:hanging="360"/>
      </w:pPr>
      <w:rPr>
        <w:rFonts w:ascii="Times New Roman" w:eastAsia="Arial Unicode MS" w:hAnsi="Times New Roman" w:cs="Times New Roman" w:hint="default"/>
      </w:rPr>
    </w:lvl>
    <w:lvl w:ilvl="1" w:tplc="04100003" w:tentative="1">
      <w:start w:val="1"/>
      <w:numFmt w:val="bullet"/>
      <w:lvlText w:val="o"/>
      <w:lvlJc w:val="left"/>
      <w:pPr>
        <w:ind w:left="3566" w:hanging="360"/>
      </w:pPr>
      <w:rPr>
        <w:rFonts w:ascii="Courier New" w:hAnsi="Courier New" w:cs="Courier New" w:hint="default"/>
      </w:rPr>
    </w:lvl>
    <w:lvl w:ilvl="2" w:tplc="04100005" w:tentative="1">
      <w:start w:val="1"/>
      <w:numFmt w:val="bullet"/>
      <w:lvlText w:val=""/>
      <w:lvlJc w:val="left"/>
      <w:pPr>
        <w:ind w:left="4286" w:hanging="360"/>
      </w:pPr>
      <w:rPr>
        <w:rFonts w:ascii="Wingdings" w:hAnsi="Wingdings" w:hint="default"/>
      </w:rPr>
    </w:lvl>
    <w:lvl w:ilvl="3" w:tplc="04100001" w:tentative="1">
      <w:start w:val="1"/>
      <w:numFmt w:val="bullet"/>
      <w:lvlText w:val=""/>
      <w:lvlJc w:val="left"/>
      <w:pPr>
        <w:ind w:left="5006" w:hanging="360"/>
      </w:pPr>
      <w:rPr>
        <w:rFonts w:ascii="Symbol" w:hAnsi="Symbol" w:hint="default"/>
      </w:rPr>
    </w:lvl>
    <w:lvl w:ilvl="4" w:tplc="04100003" w:tentative="1">
      <w:start w:val="1"/>
      <w:numFmt w:val="bullet"/>
      <w:lvlText w:val="o"/>
      <w:lvlJc w:val="left"/>
      <w:pPr>
        <w:ind w:left="5726" w:hanging="360"/>
      </w:pPr>
      <w:rPr>
        <w:rFonts w:ascii="Courier New" w:hAnsi="Courier New" w:cs="Courier New" w:hint="default"/>
      </w:rPr>
    </w:lvl>
    <w:lvl w:ilvl="5" w:tplc="04100005" w:tentative="1">
      <w:start w:val="1"/>
      <w:numFmt w:val="bullet"/>
      <w:lvlText w:val=""/>
      <w:lvlJc w:val="left"/>
      <w:pPr>
        <w:ind w:left="6446" w:hanging="360"/>
      </w:pPr>
      <w:rPr>
        <w:rFonts w:ascii="Wingdings" w:hAnsi="Wingdings" w:hint="default"/>
      </w:rPr>
    </w:lvl>
    <w:lvl w:ilvl="6" w:tplc="04100001" w:tentative="1">
      <w:start w:val="1"/>
      <w:numFmt w:val="bullet"/>
      <w:lvlText w:val=""/>
      <w:lvlJc w:val="left"/>
      <w:pPr>
        <w:ind w:left="7166" w:hanging="360"/>
      </w:pPr>
      <w:rPr>
        <w:rFonts w:ascii="Symbol" w:hAnsi="Symbol" w:hint="default"/>
      </w:rPr>
    </w:lvl>
    <w:lvl w:ilvl="7" w:tplc="04100003" w:tentative="1">
      <w:start w:val="1"/>
      <w:numFmt w:val="bullet"/>
      <w:lvlText w:val="o"/>
      <w:lvlJc w:val="left"/>
      <w:pPr>
        <w:ind w:left="7886" w:hanging="360"/>
      </w:pPr>
      <w:rPr>
        <w:rFonts w:ascii="Courier New" w:hAnsi="Courier New" w:cs="Courier New" w:hint="default"/>
      </w:rPr>
    </w:lvl>
    <w:lvl w:ilvl="8" w:tplc="04100005" w:tentative="1">
      <w:start w:val="1"/>
      <w:numFmt w:val="bullet"/>
      <w:lvlText w:val=""/>
      <w:lvlJc w:val="left"/>
      <w:pPr>
        <w:ind w:left="8606" w:hanging="360"/>
      </w:pPr>
      <w:rPr>
        <w:rFonts w:ascii="Wingdings" w:hAnsi="Wingdings" w:hint="default"/>
      </w:rPr>
    </w:lvl>
  </w:abstractNum>
  <w:abstractNum w:abstractNumId="32" w15:restartNumberingAfterBreak="0">
    <w:nsid w:val="3E91066E"/>
    <w:multiLevelType w:val="hybridMultilevel"/>
    <w:tmpl w:val="B052B680"/>
    <w:styleLink w:val="Stileimportato7"/>
    <w:lvl w:ilvl="0" w:tplc="FB10596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AA66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A206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90D4E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7B0F47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FE91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FCAAC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E4EF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C857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1495741"/>
    <w:multiLevelType w:val="hybridMultilevel"/>
    <w:tmpl w:val="5ED0CF00"/>
    <w:lvl w:ilvl="0" w:tplc="0410000F">
      <w:start w:val="1"/>
      <w:numFmt w:val="decimal"/>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34" w15:restartNumberingAfterBreak="0">
    <w:nsid w:val="428E0DC0"/>
    <w:multiLevelType w:val="hybridMultilevel"/>
    <w:tmpl w:val="5F327604"/>
    <w:lvl w:ilvl="0" w:tplc="85EA0594">
      <w:numFmt w:val="bullet"/>
      <w:lvlText w:val="•"/>
      <w:lvlJc w:val="left"/>
      <w:pPr>
        <w:ind w:left="862" w:hanging="360"/>
      </w:pPr>
      <w:rPr>
        <w:rFonts w:ascii="Times New Roman" w:eastAsia="Arial Unicode MS"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5" w15:restartNumberingAfterBreak="0">
    <w:nsid w:val="43A5492B"/>
    <w:multiLevelType w:val="hybridMultilevel"/>
    <w:tmpl w:val="7B22617C"/>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4A65EB7"/>
    <w:multiLevelType w:val="hybridMultilevel"/>
    <w:tmpl w:val="C702155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7" w15:restartNumberingAfterBreak="0">
    <w:nsid w:val="495A4F8F"/>
    <w:multiLevelType w:val="hybridMultilevel"/>
    <w:tmpl w:val="ABF2DBB4"/>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50A342C4"/>
    <w:multiLevelType w:val="hybridMultilevel"/>
    <w:tmpl w:val="2236FCEC"/>
    <w:lvl w:ilvl="0" w:tplc="0409000F">
      <w:start w:val="1"/>
      <w:numFmt w:val="decimal"/>
      <w:lvlText w:val="%1."/>
      <w:lvlJc w:val="left"/>
      <w:pPr>
        <w:ind w:left="1711" w:hanging="360"/>
      </w:pPr>
    </w:lvl>
    <w:lvl w:ilvl="1" w:tplc="04090019" w:tentative="1">
      <w:start w:val="1"/>
      <w:numFmt w:val="lowerLetter"/>
      <w:lvlText w:val="%2."/>
      <w:lvlJc w:val="left"/>
      <w:pPr>
        <w:ind w:left="2431" w:hanging="360"/>
      </w:pPr>
    </w:lvl>
    <w:lvl w:ilvl="2" w:tplc="0409001B" w:tentative="1">
      <w:start w:val="1"/>
      <w:numFmt w:val="lowerRoman"/>
      <w:lvlText w:val="%3."/>
      <w:lvlJc w:val="right"/>
      <w:pPr>
        <w:ind w:left="3151" w:hanging="180"/>
      </w:pPr>
    </w:lvl>
    <w:lvl w:ilvl="3" w:tplc="0409000F" w:tentative="1">
      <w:start w:val="1"/>
      <w:numFmt w:val="decimal"/>
      <w:lvlText w:val="%4."/>
      <w:lvlJc w:val="left"/>
      <w:pPr>
        <w:ind w:left="3871" w:hanging="360"/>
      </w:pPr>
    </w:lvl>
    <w:lvl w:ilvl="4" w:tplc="04090019" w:tentative="1">
      <w:start w:val="1"/>
      <w:numFmt w:val="lowerLetter"/>
      <w:lvlText w:val="%5."/>
      <w:lvlJc w:val="left"/>
      <w:pPr>
        <w:ind w:left="4591" w:hanging="360"/>
      </w:pPr>
    </w:lvl>
    <w:lvl w:ilvl="5" w:tplc="0409001B" w:tentative="1">
      <w:start w:val="1"/>
      <w:numFmt w:val="lowerRoman"/>
      <w:lvlText w:val="%6."/>
      <w:lvlJc w:val="right"/>
      <w:pPr>
        <w:ind w:left="5311" w:hanging="180"/>
      </w:pPr>
    </w:lvl>
    <w:lvl w:ilvl="6" w:tplc="0409000F" w:tentative="1">
      <w:start w:val="1"/>
      <w:numFmt w:val="decimal"/>
      <w:lvlText w:val="%7."/>
      <w:lvlJc w:val="left"/>
      <w:pPr>
        <w:ind w:left="6031" w:hanging="360"/>
      </w:pPr>
    </w:lvl>
    <w:lvl w:ilvl="7" w:tplc="04090019" w:tentative="1">
      <w:start w:val="1"/>
      <w:numFmt w:val="lowerLetter"/>
      <w:lvlText w:val="%8."/>
      <w:lvlJc w:val="left"/>
      <w:pPr>
        <w:ind w:left="6751" w:hanging="360"/>
      </w:pPr>
    </w:lvl>
    <w:lvl w:ilvl="8" w:tplc="0409001B" w:tentative="1">
      <w:start w:val="1"/>
      <w:numFmt w:val="lowerRoman"/>
      <w:lvlText w:val="%9."/>
      <w:lvlJc w:val="right"/>
      <w:pPr>
        <w:ind w:left="7471" w:hanging="180"/>
      </w:pPr>
    </w:lvl>
  </w:abstractNum>
  <w:abstractNum w:abstractNumId="39" w15:restartNumberingAfterBreak="0">
    <w:nsid w:val="50B62A1F"/>
    <w:multiLevelType w:val="hybridMultilevel"/>
    <w:tmpl w:val="5968694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51E91FC2"/>
    <w:multiLevelType w:val="hybridMultilevel"/>
    <w:tmpl w:val="3B5CC1D2"/>
    <w:lvl w:ilvl="0" w:tplc="85EA0594">
      <w:numFmt w:val="bullet"/>
      <w:lvlText w:val="•"/>
      <w:lvlJc w:val="left"/>
      <w:pPr>
        <w:ind w:left="1440" w:hanging="732"/>
      </w:pPr>
      <w:rPr>
        <w:rFonts w:ascii="Times New Roman" w:eastAsia="Arial Unicode MS"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cs="Wingdings" w:hint="default"/>
      </w:rPr>
    </w:lvl>
    <w:lvl w:ilvl="3" w:tplc="08090001" w:tentative="1">
      <w:start w:val="1"/>
      <w:numFmt w:val="bullet"/>
      <w:lvlText w:val=""/>
      <w:lvlJc w:val="left"/>
      <w:pPr>
        <w:ind w:left="3228" w:hanging="360"/>
      </w:pPr>
      <w:rPr>
        <w:rFonts w:ascii="Symbol" w:hAnsi="Symbol" w:cs="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cs="Wingdings" w:hint="default"/>
      </w:rPr>
    </w:lvl>
    <w:lvl w:ilvl="6" w:tplc="08090001" w:tentative="1">
      <w:start w:val="1"/>
      <w:numFmt w:val="bullet"/>
      <w:lvlText w:val=""/>
      <w:lvlJc w:val="left"/>
      <w:pPr>
        <w:ind w:left="5388" w:hanging="360"/>
      </w:pPr>
      <w:rPr>
        <w:rFonts w:ascii="Symbol" w:hAnsi="Symbol" w:cs="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cs="Wingdings" w:hint="default"/>
      </w:rPr>
    </w:lvl>
  </w:abstractNum>
  <w:abstractNum w:abstractNumId="41" w15:restartNumberingAfterBreak="0">
    <w:nsid w:val="520979E7"/>
    <w:multiLevelType w:val="hybridMultilevel"/>
    <w:tmpl w:val="BB18003C"/>
    <w:lvl w:ilvl="0" w:tplc="85EA0594">
      <w:numFmt w:val="bullet"/>
      <w:lvlText w:val="•"/>
      <w:lvlJc w:val="left"/>
      <w:pPr>
        <w:ind w:left="720" w:hanging="360"/>
      </w:pPr>
      <w:rPr>
        <w:rFonts w:ascii="Times New Roman" w:eastAsia="Arial Unicode MS"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63572CA"/>
    <w:multiLevelType w:val="hybridMultilevel"/>
    <w:tmpl w:val="F07ED4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64C6BBB"/>
    <w:multiLevelType w:val="hybridMultilevel"/>
    <w:tmpl w:val="63A8BA2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5FD12651"/>
    <w:multiLevelType w:val="hybridMultilevel"/>
    <w:tmpl w:val="39BE8510"/>
    <w:lvl w:ilvl="0" w:tplc="08090001">
      <w:start w:val="1"/>
      <w:numFmt w:val="bullet"/>
      <w:lvlText w:val=""/>
      <w:lvlJc w:val="left"/>
      <w:pPr>
        <w:ind w:left="1429" w:hanging="360"/>
      </w:pPr>
      <w:rPr>
        <w:rFonts w:ascii="Symbol" w:hAnsi="Symbol" w:cs="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cs="Wingdings" w:hint="default"/>
      </w:rPr>
    </w:lvl>
    <w:lvl w:ilvl="3" w:tplc="08090001" w:tentative="1">
      <w:start w:val="1"/>
      <w:numFmt w:val="bullet"/>
      <w:lvlText w:val=""/>
      <w:lvlJc w:val="left"/>
      <w:pPr>
        <w:ind w:left="3589" w:hanging="360"/>
      </w:pPr>
      <w:rPr>
        <w:rFonts w:ascii="Symbol" w:hAnsi="Symbol" w:cs="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cs="Wingdings" w:hint="default"/>
      </w:rPr>
    </w:lvl>
    <w:lvl w:ilvl="6" w:tplc="08090001" w:tentative="1">
      <w:start w:val="1"/>
      <w:numFmt w:val="bullet"/>
      <w:lvlText w:val=""/>
      <w:lvlJc w:val="left"/>
      <w:pPr>
        <w:ind w:left="5749" w:hanging="360"/>
      </w:pPr>
      <w:rPr>
        <w:rFonts w:ascii="Symbol" w:hAnsi="Symbol" w:cs="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cs="Wingdings" w:hint="default"/>
      </w:rPr>
    </w:lvl>
  </w:abstractNum>
  <w:abstractNum w:abstractNumId="45" w15:restartNumberingAfterBreak="0">
    <w:nsid w:val="60167F48"/>
    <w:multiLevelType w:val="hybridMultilevel"/>
    <w:tmpl w:val="A296F786"/>
    <w:lvl w:ilvl="0" w:tplc="85EA0594">
      <w:numFmt w:val="bullet"/>
      <w:lvlText w:val="•"/>
      <w:lvlJc w:val="left"/>
      <w:pPr>
        <w:tabs>
          <w:tab w:val="num" w:pos="1134"/>
        </w:tabs>
        <w:ind w:left="425" w:firstLine="284"/>
      </w:pPr>
      <w:rPr>
        <w:rFonts w:ascii="Times New Roman" w:eastAsia="Arial Unicode MS" w:hAnsi="Times New Roman"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B60C06">
      <w:start w:val="1"/>
      <w:numFmt w:val="bullet"/>
      <w:lvlText w:val="o"/>
      <w:lvlJc w:val="left"/>
      <w:pPr>
        <w:tabs>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52EE8E">
      <w:start w:val="1"/>
      <w:numFmt w:val="bullet"/>
      <w:lvlText w:val="▪"/>
      <w:lvlJc w:val="left"/>
      <w:pPr>
        <w:tabs>
          <w:tab w:val="left" w:pos="1134"/>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F0CD06">
      <w:start w:val="1"/>
      <w:numFmt w:val="bullet"/>
      <w:lvlText w:val="•"/>
      <w:lvlJc w:val="left"/>
      <w:pPr>
        <w:tabs>
          <w:tab w:val="left" w:pos="1134"/>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2FBA2">
      <w:start w:val="1"/>
      <w:numFmt w:val="bullet"/>
      <w:lvlText w:val="o"/>
      <w:lvlJc w:val="left"/>
      <w:pPr>
        <w:tabs>
          <w:tab w:val="left" w:pos="1134"/>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2661B0">
      <w:start w:val="1"/>
      <w:numFmt w:val="bullet"/>
      <w:lvlText w:val="▪"/>
      <w:lvlJc w:val="left"/>
      <w:pPr>
        <w:tabs>
          <w:tab w:val="left" w:pos="1134"/>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ECB4C">
      <w:start w:val="1"/>
      <w:numFmt w:val="bullet"/>
      <w:lvlText w:val="•"/>
      <w:lvlJc w:val="left"/>
      <w:pPr>
        <w:tabs>
          <w:tab w:val="left" w:pos="1134"/>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D864A6">
      <w:start w:val="1"/>
      <w:numFmt w:val="bullet"/>
      <w:lvlText w:val="o"/>
      <w:lvlJc w:val="left"/>
      <w:pPr>
        <w:tabs>
          <w:tab w:val="left" w:pos="1134"/>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92134E">
      <w:start w:val="1"/>
      <w:numFmt w:val="bullet"/>
      <w:lvlText w:val="▪"/>
      <w:lvlJc w:val="left"/>
      <w:pPr>
        <w:tabs>
          <w:tab w:val="left" w:pos="1134"/>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3D10527"/>
    <w:multiLevelType w:val="hybridMultilevel"/>
    <w:tmpl w:val="D53ABBCA"/>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4C22528"/>
    <w:multiLevelType w:val="hybridMultilevel"/>
    <w:tmpl w:val="719CE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4ED3427"/>
    <w:multiLevelType w:val="hybridMultilevel"/>
    <w:tmpl w:val="DDE8B6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52E697B"/>
    <w:multiLevelType w:val="hybridMultilevel"/>
    <w:tmpl w:val="BA4454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0" w15:restartNumberingAfterBreak="0">
    <w:nsid w:val="657B6C94"/>
    <w:multiLevelType w:val="hybridMultilevel"/>
    <w:tmpl w:val="7B04CA4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1" w15:restartNumberingAfterBreak="0">
    <w:nsid w:val="6AA7632C"/>
    <w:multiLevelType w:val="hybridMultilevel"/>
    <w:tmpl w:val="D4929A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C1B07E5"/>
    <w:multiLevelType w:val="hybridMultilevel"/>
    <w:tmpl w:val="0A3CE56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3" w15:restartNumberingAfterBreak="0">
    <w:nsid w:val="6D6F7EC9"/>
    <w:multiLevelType w:val="hybridMultilevel"/>
    <w:tmpl w:val="8EF01806"/>
    <w:lvl w:ilvl="0" w:tplc="85EA0594">
      <w:numFmt w:val="bullet"/>
      <w:lvlText w:val="•"/>
      <w:lvlJc w:val="left"/>
      <w:pPr>
        <w:ind w:left="1429" w:hanging="360"/>
      </w:pPr>
      <w:rPr>
        <w:rFonts w:ascii="Times New Roman" w:eastAsia="Arial Unicode MS"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4" w15:restartNumberingAfterBreak="0">
    <w:nsid w:val="6E074AD7"/>
    <w:multiLevelType w:val="hybridMultilevel"/>
    <w:tmpl w:val="C46023EC"/>
    <w:styleLink w:val="Stileimportato3"/>
    <w:lvl w:ilvl="0" w:tplc="7B641E52">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DE6954">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4C63E82">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5A5D9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36F7F0">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441EA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E439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2ED090">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D2BBF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1FB7C07"/>
    <w:multiLevelType w:val="hybridMultilevel"/>
    <w:tmpl w:val="FBCA0926"/>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88C677E"/>
    <w:multiLevelType w:val="hybridMultilevel"/>
    <w:tmpl w:val="3200B6B4"/>
    <w:lvl w:ilvl="0" w:tplc="C8BA38F0">
      <w:numFmt w:val="bullet"/>
      <w:lvlText w:val="-"/>
      <w:lvlJc w:val="left"/>
      <w:pPr>
        <w:ind w:left="1841" w:hanging="99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9F44F3F"/>
    <w:multiLevelType w:val="hybridMultilevel"/>
    <w:tmpl w:val="EA6A8E64"/>
    <w:lvl w:ilvl="0" w:tplc="85EA0594">
      <w:numFmt w:val="bullet"/>
      <w:lvlText w:val="•"/>
      <w:lvlJc w:val="left"/>
      <w:pPr>
        <w:ind w:left="1429" w:hanging="360"/>
      </w:pPr>
      <w:rPr>
        <w:rFonts w:ascii="Times New Roman" w:eastAsia="Arial Unicode MS"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cs="Wingdings" w:hint="default"/>
      </w:rPr>
    </w:lvl>
    <w:lvl w:ilvl="3" w:tplc="08090001" w:tentative="1">
      <w:start w:val="1"/>
      <w:numFmt w:val="bullet"/>
      <w:lvlText w:val=""/>
      <w:lvlJc w:val="left"/>
      <w:pPr>
        <w:ind w:left="3589" w:hanging="360"/>
      </w:pPr>
      <w:rPr>
        <w:rFonts w:ascii="Symbol" w:hAnsi="Symbol" w:cs="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cs="Wingdings" w:hint="default"/>
      </w:rPr>
    </w:lvl>
    <w:lvl w:ilvl="6" w:tplc="08090001" w:tentative="1">
      <w:start w:val="1"/>
      <w:numFmt w:val="bullet"/>
      <w:lvlText w:val=""/>
      <w:lvlJc w:val="left"/>
      <w:pPr>
        <w:ind w:left="5749" w:hanging="360"/>
      </w:pPr>
      <w:rPr>
        <w:rFonts w:ascii="Symbol" w:hAnsi="Symbol" w:cs="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cs="Wingdings" w:hint="default"/>
      </w:rPr>
    </w:lvl>
  </w:abstractNum>
  <w:abstractNum w:abstractNumId="58" w15:restartNumberingAfterBreak="0">
    <w:nsid w:val="7A0C7B12"/>
    <w:multiLevelType w:val="hybridMultilevel"/>
    <w:tmpl w:val="62D86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A14218C"/>
    <w:multiLevelType w:val="hybridMultilevel"/>
    <w:tmpl w:val="80C20FDE"/>
    <w:lvl w:ilvl="0" w:tplc="85EA0594">
      <w:numFmt w:val="bullet"/>
      <w:lvlText w:val="•"/>
      <w:lvlJc w:val="left"/>
      <w:pPr>
        <w:ind w:left="1440" w:hanging="360"/>
      </w:pPr>
      <w:rPr>
        <w:rFonts w:ascii="Times New Roman" w:eastAsia="Arial Unicode MS"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0" w15:restartNumberingAfterBreak="0">
    <w:nsid w:val="7B386247"/>
    <w:multiLevelType w:val="hybridMultilevel"/>
    <w:tmpl w:val="3438CBB0"/>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BA66E71"/>
    <w:multiLevelType w:val="hybridMultilevel"/>
    <w:tmpl w:val="4D261D0A"/>
    <w:lvl w:ilvl="0" w:tplc="85EA0594">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BD03CC9"/>
    <w:multiLevelType w:val="hybridMultilevel"/>
    <w:tmpl w:val="6C820EC6"/>
    <w:lvl w:ilvl="0" w:tplc="85EA0594">
      <w:numFmt w:val="bullet"/>
      <w:lvlText w:val="•"/>
      <w:lvlJc w:val="left"/>
      <w:pPr>
        <w:ind w:left="1429" w:hanging="360"/>
      </w:pPr>
      <w:rPr>
        <w:rFonts w:ascii="Times New Roman" w:eastAsia="Arial Unicode MS"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3" w15:restartNumberingAfterBreak="0">
    <w:nsid w:val="7C482DFC"/>
    <w:multiLevelType w:val="hybridMultilevel"/>
    <w:tmpl w:val="B93E3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D614D37"/>
    <w:multiLevelType w:val="hybridMultilevel"/>
    <w:tmpl w:val="0374ECE8"/>
    <w:lvl w:ilvl="0" w:tplc="85EA0594">
      <w:numFmt w:val="bullet"/>
      <w:lvlText w:val="•"/>
      <w:lvlJc w:val="left"/>
      <w:pPr>
        <w:ind w:left="1429" w:hanging="360"/>
      </w:pPr>
      <w:rPr>
        <w:rFonts w:ascii="Times New Roman" w:eastAsia="Arial Unicode MS"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0"/>
  </w:num>
  <w:num w:numId="2">
    <w:abstractNumId w:val="17"/>
  </w:num>
  <w:num w:numId="3">
    <w:abstractNumId w:val="8"/>
  </w:num>
  <w:num w:numId="4">
    <w:abstractNumId w:val="7"/>
  </w:num>
  <w:num w:numId="5">
    <w:abstractNumId w:val="54"/>
  </w:num>
  <w:num w:numId="6">
    <w:abstractNumId w:val="6"/>
  </w:num>
  <w:num w:numId="7">
    <w:abstractNumId w:val="32"/>
  </w:num>
  <w:num w:numId="8">
    <w:abstractNumId w:val="24"/>
  </w:num>
  <w:num w:numId="9">
    <w:abstractNumId w:val="5"/>
  </w:num>
  <w:num w:numId="10">
    <w:abstractNumId w:val="52"/>
  </w:num>
  <w:num w:numId="11">
    <w:abstractNumId w:val="13"/>
  </w:num>
  <w:num w:numId="12">
    <w:abstractNumId w:val="39"/>
  </w:num>
  <w:num w:numId="13">
    <w:abstractNumId w:val="58"/>
  </w:num>
  <w:num w:numId="14">
    <w:abstractNumId w:val="20"/>
  </w:num>
  <w:num w:numId="15">
    <w:abstractNumId w:val="23"/>
  </w:num>
  <w:num w:numId="16">
    <w:abstractNumId w:val="3"/>
  </w:num>
  <w:num w:numId="17">
    <w:abstractNumId w:val="43"/>
  </w:num>
  <w:num w:numId="18">
    <w:abstractNumId w:val="50"/>
  </w:num>
  <w:num w:numId="19">
    <w:abstractNumId w:val="42"/>
  </w:num>
  <w:num w:numId="20">
    <w:abstractNumId w:val="0"/>
  </w:num>
  <w:num w:numId="21">
    <w:abstractNumId w:val="36"/>
  </w:num>
  <w:num w:numId="22">
    <w:abstractNumId w:val="40"/>
  </w:num>
  <w:num w:numId="23">
    <w:abstractNumId w:val="48"/>
  </w:num>
  <w:num w:numId="24">
    <w:abstractNumId w:val="37"/>
    <w:lvlOverride w:ilvl="0">
      <w:startOverride w:val="1"/>
    </w:lvlOverride>
    <w:lvlOverride w:ilvl="1"/>
    <w:lvlOverride w:ilvl="2"/>
    <w:lvlOverride w:ilvl="3"/>
    <w:lvlOverride w:ilvl="4"/>
    <w:lvlOverride w:ilvl="5"/>
    <w:lvlOverride w:ilvl="6"/>
    <w:lvlOverride w:ilvl="7"/>
    <w:lvlOverride w:ilvl="8"/>
  </w:num>
  <w:num w:numId="25">
    <w:abstractNumId w:val="38"/>
  </w:num>
  <w:num w:numId="26">
    <w:abstractNumId w:val="16"/>
  </w:num>
  <w:num w:numId="27">
    <w:abstractNumId w:val="44"/>
  </w:num>
  <w:num w:numId="28">
    <w:abstractNumId w:val="37"/>
  </w:num>
  <w:num w:numId="29">
    <w:abstractNumId w:val="1"/>
  </w:num>
  <w:num w:numId="30">
    <w:abstractNumId w:val="51"/>
  </w:num>
  <w:num w:numId="31">
    <w:abstractNumId w:val="56"/>
  </w:num>
  <w:num w:numId="32">
    <w:abstractNumId w:val="29"/>
  </w:num>
  <w:num w:numId="33">
    <w:abstractNumId w:val="49"/>
  </w:num>
  <w:num w:numId="34">
    <w:abstractNumId w:val="9"/>
  </w:num>
  <w:num w:numId="35">
    <w:abstractNumId w:val="21"/>
  </w:num>
  <w:num w:numId="36">
    <w:abstractNumId w:val="12"/>
  </w:num>
  <w:num w:numId="37">
    <w:abstractNumId w:val="45"/>
  </w:num>
  <w:num w:numId="38">
    <w:abstractNumId w:val="60"/>
  </w:num>
  <w:num w:numId="39">
    <w:abstractNumId w:val="46"/>
  </w:num>
  <w:num w:numId="40">
    <w:abstractNumId w:val="25"/>
  </w:num>
  <w:num w:numId="41">
    <w:abstractNumId w:val="33"/>
  </w:num>
  <w:num w:numId="42">
    <w:abstractNumId w:val="28"/>
  </w:num>
  <w:num w:numId="43">
    <w:abstractNumId w:val="35"/>
  </w:num>
  <w:num w:numId="44">
    <w:abstractNumId w:val="26"/>
  </w:num>
  <w:num w:numId="45">
    <w:abstractNumId w:val="55"/>
  </w:num>
  <w:num w:numId="46">
    <w:abstractNumId w:val="22"/>
  </w:num>
  <w:num w:numId="47">
    <w:abstractNumId w:val="14"/>
  </w:num>
  <w:num w:numId="48">
    <w:abstractNumId w:val="30"/>
  </w:num>
  <w:num w:numId="49">
    <w:abstractNumId w:val="61"/>
  </w:num>
  <w:num w:numId="50">
    <w:abstractNumId w:val="11"/>
  </w:num>
  <w:num w:numId="51">
    <w:abstractNumId w:val="41"/>
  </w:num>
  <w:num w:numId="52">
    <w:abstractNumId w:val="2"/>
  </w:num>
  <w:num w:numId="53">
    <w:abstractNumId w:val="4"/>
  </w:num>
  <w:num w:numId="54">
    <w:abstractNumId w:val="53"/>
  </w:num>
  <w:num w:numId="55">
    <w:abstractNumId w:val="31"/>
  </w:num>
  <w:num w:numId="56">
    <w:abstractNumId w:val="34"/>
  </w:num>
  <w:num w:numId="57">
    <w:abstractNumId w:val="18"/>
  </w:num>
  <w:num w:numId="58">
    <w:abstractNumId w:val="27"/>
  </w:num>
  <w:num w:numId="59">
    <w:abstractNumId w:val="59"/>
  </w:num>
  <w:num w:numId="60">
    <w:abstractNumId w:val="64"/>
  </w:num>
  <w:num w:numId="61">
    <w:abstractNumId w:val="57"/>
  </w:num>
  <w:num w:numId="62">
    <w:abstractNumId w:val="63"/>
  </w:num>
  <w:num w:numId="63">
    <w:abstractNumId w:val="19"/>
  </w:num>
  <w:num w:numId="64">
    <w:abstractNumId w:val="47"/>
  </w:num>
  <w:num w:numId="65">
    <w:abstractNumId w:val="62"/>
  </w:num>
  <w:num w:numId="66">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6"/>
  <w:proofState w:spelling="clean" w:grammar="clean"/>
  <w:defaultTabStop w:val="70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BD4"/>
    <w:rsid w:val="00002E17"/>
    <w:rsid w:val="0000635D"/>
    <w:rsid w:val="0000647F"/>
    <w:rsid w:val="00006635"/>
    <w:rsid w:val="000106F4"/>
    <w:rsid w:val="00015DFA"/>
    <w:rsid w:val="00023716"/>
    <w:rsid w:val="000245AF"/>
    <w:rsid w:val="00024B9E"/>
    <w:rsid w:val="00027303"/>
    <w:rsid w:val="00027FE5"/>
    <w:rsid w:val="00031DB9"/>
    <w:rsid w:val="0003259C"/>
    <w:rsid w:val="0003583B"/>
    <w:rsid w:val="00036D86"/>
    <w:rsid w:val="00037DE7"/>
    <w:rsid w:val="00043C17"/>
    <w:rsid w:val="00044B41"/>
    <w:rsid w:val="00054456"/>
    <w:rsid w:val="0005480C"/>
    <w:rsid w:val="0005513D"/>
    <w:rsid w:val="000561C2"/>
    <w:rsid w:val="00061884"/>
    <w:rsid w:val="000625CD"/>
    <w:rsid w:val="00070935"/>
    <w:rsid w:val="00077BD6"/>
    <w:rsid w:val="000807D7"/>
    <w:rsid w:val="00081D00"/>
    <w:rsid w:val="00084BB6"/>
    <w:rsid w:val="00091933"/>
    <w:rsid w:val="00092DE3"/>
    <w:rsid w:val="00093E0D"/>
    <w:rsid w:val="000A080C"/>
    <w:rsid w:val="000A0C4B"/>
    <w:rsid w:val="000A1F3B"/>
    <w:rsid w:val="000A36DD"/>
    <w:rsid w:val="000B0432"/>
    <w:rsid w:val="000B3D57"/>
    <w:rsid w:val="000C2297"/>
    <w:rsid w:val="000C370F"/>
    <w:rsid w:val="000C5475"/>
    <w:rsid w:val="000C5D74"/>
    <w:rsid w:val="000C6189"/>
    <w:rsid w:val="000C625D"/>
    <w:rsid w:val="000C6E3B"/>
    <w:rsid w:val="000D2A9D"/>
    <w:rsid w:val="000D6AFC"/>
    <w:rsid w:val="000E1873"/>
    <w:rsid w:val="000E1C97"/>
    <w:rsid w:val="000E1DCE"/>
    <w:rsid w:val="000E216D"/>
    <w:rsid w:val="000E3C84"/>
    <w:rsid w:val="000E573C"/>
    <w:rsid w:val="000E5811"/>
    <w:rsid w:val="000E7717"/>
    <w:rsid w:val="000F6CCE"/>
    <w:rsid w:val="000F70EC"/>
    <w:rsid w:val="00103F80"/>
    <w:rsid w:val="00105405"/>
    <w:rsid w:val="001118E7"/>
    <w:rsid w:val="00114F3C"/>
    <w:rsid w:val="00115501"/>
    <w:rsid w:val="00116391"/>
    <w:rsid w:val="00116D68"/>
    <w:rsid w:val="00122A9F"/>
    <w:rsid w:val="001230F4"/>
    <w:rsid w:val="001253FC"/>
    <w:rsid w:val="00126510"/>
    <w:rsid w:val="001278AD"/>
    <w:rsid w:val="00131E67"/>
    <w:rsid w:val="001339FA"/>
    <w:rsid w:val="001365E2"/>
    <w:rsid w:val="001415E0"/>
    <w:rsid w:val="00143875"/>
    <w:rsid w:val="00150BA6"/>
    <w:rsid w:val="001543F9"/>
    <w:rsid w:val="00157C29"/>
    <w:rsid w:val="0016208D"/>
    <w:rsid w:val="001670A2"/>
    <w:rsid w:val="00171D9E"/>
    <w:rsid w:val="00175109"/>
    <w:rsid w:val="00177319"/>
    <w:rsid w:val="00177E90"/>
    <w:rsid w:val="0018057B"/>
    <w:rsid w:val="00180F01"/>
    <w:rsid w:val="001A1DC6"/>
    <w:rsid w:val="001B135F"/>
    <w:rsid w:val="001B5B12"/>
    <w:rsid w:val="001B6714"/>
    <w:rsid w:val="001C2716"/>
    <w:rsid w:val="001C66A6"/>
    <w:rsid w:val="001D7908"/>
    <w:rsid w:val="001E0952"/>
    <w:rsid w:val="001F6BA5"/>
    <w:rsid w:val="001F7E31"/>
    <w:rsid w:val="0020303B"/>
    <w:rsid w:val="002040DB"/>
    <w:rsid w:val="0020461E"/>
    <w:rsid w:val="0020495F"/>
    <w:rsid w:val="00207601"/>
    <w:rsid w:val="002129C3"/>
    <w:rsid w:val="00216BE6"/>
    <w:rsid w:val="00220683"/>
    <w:rsid w:val="002219C3"/>
    <w:rsid w:val="00224129"/>
    <w:rsid w:val="0022607F"/>
    <w:rsid w:val="002272BF"/>
    <w:rsid w:val="0023164A"/>
    <w:rsid w:val="00231B40"/>
    <w:rsid w:val="0023395E"/>
    <w:rsid w:val="00235874"/>
    <w:rsid w:val="0023756F"/>
    <w:rsid w:val="00244A11"/>
    <w:rsid w:val="00245896"/>
    <w:rsid w:val="00252A4A"/>
    <w:rsid w:val="00255990"/>
    <w:rsid w:val="00260DC9"/>
    <w:rsid w:val="00261316"/>
    <w:rsid w:val="00265645"/>
    <w:rsid w:val="002745E3"/>
    <w:rsid w:val="00274A93"/>
    <w:rsid w:val="0028033C"/>
    <w:rsid w:val="002860F7"/>
    <w:rsid w:val="00290C4D"/>
    <w:rsid w:val="002918B3"/>
    <w:rsid w:val="00293D55"/>
    <w:rsid w:val="002A27B5"/>
    <w:rsid w:val="002A326A"/>
    <w:rsid w:val="002A5C61"/>
    <w:rsid w:val="002B0ACA"/>
    <w:rsid w:val="002B6589"/>
    <w:rsid w:val="002B6644"/>
    <w:rsid w:val="002B68F8"/>
    <w:rsid w:val="002C36C0"/>
    <w:rsid w:val="002C4353"/>
    <w:rsid w:val="002D052F"/>
    <w:rsid w:val="002D12D6"/>
    <w:rsid w:val="002D4FDD"/>
    <w:rsid w:val="002D71E5"/>
    <w:rsid w:val="002E078C"/>
    <w:rsid w:val="002E1DA0"/>
    <w:rsid w:val="002F0E0B"/>
    <w:rsid w:val="002F1B93"/>
    <w:rsid w:val="002F4F43"/>
    <w:rsid w:val="003043AF"/>
    <w:rsid w:val="00304B28"/>
    <w:rsid w:val="003063BE"/>
    <w:rsid w:val="00306FA7"/>
    <w:rsid w:val="003118EE"/>
    <w:rsid w:val="00322A53"/>
    <w:rsid w:val="003232B0"/>
    <w:rsid w:val="003267E9"/>
    <w:rsid w:val="00326932"/>
    <w:rsid w:val="00337086"/>
    <w:rsid w:val="0034024D"/>
    <w:rsid w:val="003422B5"/>
    <w:rsid w:val="00342EC8"/>
    <w:rsid w:val="003438B3"/>
    <w:rsid w:val="00343FB0"/>
    <w:rsid w:val="00345A3F"/>
    <w:rsid w:val="003479AB"/>
    <w:rsid w:val="003500CA"/>
    <w:rsid w:val="003546E9"/>
    <w:rsid w:val="00361AAD"/>
    <w:rsid w:val="003700F7"/>
    <w:rsid w:val="0037172F"/>
    <w:rsid w:val="00371A81"/>
    <w:rsid w:val="00374682"/>
    <w:rsid w:val="0037642B"/>
    <w:rsid w:val="00382E93"/>
    <w:rsid w:val="00385BD4"/>
    <w:rsid w:val="00387077"/>
    <w:rsid w:val="00387CDB"/>
    <w:rsid w:val="00393781"/>
    <w:rsid w:val="0039631A"/>
    <w:rsid w:val="003A039E"/>
    <w:rsid w:val="003A23B1"/>
    <w:rsid w:val="003A29A5"/>
    <w:rsid w:val="003A39EE"/>
    <w:rsid w:val="003A4025"/>
    <w:rsid w:val="003B08D9"/>
    <w:rsid w:val="003B36EC"/>
    <w:rsid w:val="003C090A"/>
    <w:rsid w:val="003C2FD7"/>
    <w:rsid w:val="003C378F"/>
    <w:rsid w:val="003C420D"/>
    <w:rsid w:val="003D3722"/>
    <w:rsid w:val="003E4302"/>
    <w:rsid w:val="003E4AD5"/>
    <w:rsid w:val="003E6C9A"/>
    <w:rsid w:val="003E7797"/>
    <w:rsid w:val="003F4CB7"/>
    <w:rsid w:val="003F4EA4"/>
    <w:rsid w:val="003F6270"/>
    <w:rsid w:val="003F7C49"/>
    <w:rsid w:val="00400222"/>
    <w:rsid w:val="00400382"/>
    <w:rsid w:val="00400F40"/>
    <w:rsid w:val="004057D2"/>
    <w:rsid w:val="00405BE9"/>
    <w:rsid w:val="0040652E"/>
    <w:rsid w:val="00406812"/>
    <w:rsid w:val="0040787E"/>
    <w:rsid w:val="004100A7"/>
    <w:rsid w:val="00411723"/>
    <w:rsid w:val="0041181F"/>
    <w:rsid w:val="00412E5A"/>
    <w:rsid w:val="00416EC4"/>
    <w:rsid w:val="00420A1A"/>
    <w:rsid w:val="00430B8E"/>
    <w:rsid w:val="00433136"/>
    <w:rsid w:val="004339B4"/>
    <w:rsid w:val="0044165A"/>
    <w:rsid w:val="0044209F"/>
    <w:rsid w:val="00443389"/>
    <w:rsid w:val="00450988"/>
    <w:rsid w:val="00450E48"/>
    <w:rsid w:val="00451C6B"/>
    <w:rsid w:val="004564EF"/>
    <w:rsid w:val="00460377"/>
    <w:rsid w:val="0046046A"/>
    <w:rsid w:val="004616A0"/>
    <w:rsid w:val="00463FDD"/>
    <w:rsid w:val="0046407F"/>
    <w:rsid w:val="00464F30"/>
    <w:rsid w:val="0046585A"/>
    <w:rsid w:val="004674A4"/>
    <w:rsid w:val="004678C5"/>
    <w:rsid w:val="004706D9"/>
    <w:rsid w:val="00470BE8"/>
    <w:rsid w:val="00470DFD"/>
    <w:rsid w:val="00472A75"/>
    <w:rsid w:val="00473268"/>
    <w:rsid w:val="00485233"/>
    <w:rsid w:val="0048574F"/>
    <w:rsid w:val="00490FAB"/>
    <w:rsid w:val="004A302B"/>
    <w:rsid w:val="004A493A"/>
    <w:rsid w:val="004A70DA"/>
    <w:rsid w:val="004B0F15"/>
    <w:rsid w:val="004B4C5E"/>
    <w:rsid w:val="004B51E8"/>
    <w:rsid w:val="004B5C8E"/>
    <w:rsid w:val="004B5FBA"/>
    <w:rsid w:val="004B6F4D"/>
    <w:rsid w:val="004B7887"/>
    <w:rsid w:val="004C0AA9"/>
    <w:rsid w:val="004C67B8"/>
    <w:rsid w:val="004D18C9"/>
    <w:rsid w:val="004E1261"/>
    <w:rsid w:val="004E280E"/>
    <w:rsid w:val="004E6922"/>
    <w:rsid w:val="004E7C8E"/>
    <w:rsid w:val="004F0EE9"/>
    <w:rsid w:val="005011ED"/>
    <w:rsid w:val="00502497"/>
    <w:rsid w:val="00511788"/>
    <w:rsid w:val="00513684"/>
    <w:rsid w:val="00513E22"/>
    <w:rsid w:val="00514CAB"/>
    <w:rsid w:val="00521643"/>
    <w:rsid w:val="005258E8"/>
    <w:rsid w:val="00526C1F"/>
    <w:rsid w:val="005301CD"/>
    <w:rsid w:val="00534F11"/>
    <w:rsid w:val="00535D45"/>
    <w:rsid w:val="005400B2"/>
    <w:rsid w:val="00545D30"/>
    <w:rsid w:val="00546D8D"/>
    <w:rsid w:val="00550978"/>
    <w:rsid w:val="00550F6D"/>
    <w:rsid w:val="00555C9A"/>
    <w:rsid w:val="00562BCD"/>
    <w:rsid w:val="00565861"/>
    <w:rsid w:val="00565CAF"/>
    <w:rsid w:val="0056710D"/>
    <w:rsid w:val="0057771F"/>
    <w:rsid w:val="00583E96"/>
    <w:rsid w:val="005841CE"/>
    <w:rsid w:val="005900AA"/>
    <w:rsid w:val="005911FD"/>
    <w:rsid w:val="00594FCD"/>
    <w:rsid w:val="005A002D"/>
    <w:rsid w:val="005A711B"/>
    <w:rsid w:val="005B023D"/>
    <w:rsid w:val="005C0728"/>
    <w:rsid w:val="005C23CF"/>
    <w:rsid w:val="005C402E"/>
    <w:rsid w:val="005C5DDC"/>
    <w:rsid w:val="005C64B5"/>
    <w:rsid w:val="005D33C1"/>
    <w:rsid w:val="005D4842"/>
    <w:rsid w:val="005D75DA"/>
    <w:rsid w:val="005E7C1B"/>
    <w:rsid w:val="005E7D5C"/>
    <w:rsid w:val="00601D52"/>
    <w:rsid w:val="006037A6"/>
    <w:rsid w:val="00612F59"/>
    <w:rsid w:val="006146EB"/>
    <w:rsid w:val="00614D88"/>
    <w:rsid w:val="006168CF"/>
    <w:rsid w:val="00616C95"/>
    <w:rsid w:val="0062109A"/>
    <w:rsid w:val="00621101"/>
    <w:rsid w:val="00622AD9"/>
    <w:rsid w:val="00623E87"/>
    <w:rsid w:val="00624BB7"/>
    <w:rsid w:val="00626397"/>
    <w:rsid w:val="00626A0D"/>
    <w:rsid w:val="0063005F"/>
    <w:rsid w:val="00635529"/>
    <w:rsid w:val="006362D4"/>
    <w:rsid w:val="00636FEC"/>
    <w:rsid w:val="00641A42"/>
    <w:rsid w:val="00641BD9"/>
    <w:rsid w:val="00642353"/>
    <w:rsid w:val="0064340F"/>
    <w:rsid w:val="00644727"/>
    <w:rsid w:val="00654EC6"/>
    <w:rsid w:val="00662B51"/>
    <w:rsid w:val="00662F89"/>
    <w:rsid w:val="0066325D"/>
    <w:rsid w:val="006633A6"/>
    <w:rsid w:val="00665C95"/>
    <w:rsid w:val="006670E1"/>
    <w:rsid w:val="00671F8E"/>
    <w:rsid w:val="00672044"/>
    <w:rsid w:val="00677A5F"/>
    <w:rsid w:val="006815CE"/>
    <w:rsid w:val="00681763"/>
    <w:rsid w:val="006824E7"/>
    <w:rsid w:val="00684E2E"/>
    <w:rsid w:val="0068514D"/>
    <w:rsid w:val="00694F58"/>
    <w:rsid w:val="0069671E"/>
    <w:rsid w:val="006A564B"/>
    <w:rsid w:val="006A7022"/>
    <w:rsid w:val="006B09A6"/>
    <w:rsid w:val="006B258B"/>
    <w:rsid w:val="006B535A"/>
    <w:rsid w:val="006B5F4C"/>
    <w:rsid w:val="006B6EBB"/>
    <w:rsid w:val="006B75D0"/>
    <w:rsid w:val="006C042D"/>
    <w:rsid w:val="006C1C57"/>
    <w:rsid w:val="006C1DCB"/>
    <w:rsid w:val="006C3223"/>
    <w:rsid w:val="006C4718"/>
    <w:rsid w:val="006C5AEC"/>
    <w:rsid w:val="006D3A71"/>
    <w:rsid w:val="006E0557"/>
    <w:rsid w:val="006E3148"/>
    <w:rsid w:val="006E5994"/>
    <w:rsid w:val="006F217A"/>
    <w:rsid w:val="006F3F10"/>
    <w:rsid w:val="006F539E"/>
    <w:rsid w:val="006F5D9C"/>
    <w:rsid w:val="006F6818"/>
    <w:rsid w:val="0070044A"/>
    <w:rsid w:val="00700688"/>
    <w:rsid w:val="00701511"/>
    <w:rsid w:val="00703B4F"/>
    <w:rsid w:val="00706961"/>
    <w:rsid w:val="007101D0"/>
    <w:rsid w:val="00710BA4"/>
    <w:rsid w:val="0071388E"/>
    <w:rsid w:val="00721321"/>
    <w:rsid w:val="00724E74"/>
    <w:rsid w:val="007253AF"/>
    <w:rsid w:val="00725658"/>
    <w:rsid w:val="00726F88"/>
    <w:rsid w:val="0073023E"/>
    <w:rsid w:val="007304D6"/>
    <w:rsid w:val="00732458"/>
    <w:rsid w:val="0073264B"/>
    <w:rsid w:val="00732BF1"/>
    <w:rsid w:val="00732F02"/>
    <w:rsid w:val="007364EF"/>
    <w:rsid w:val="00742DDB"/>
    <w:rsid w:val="00751264"/>
    <w:rsid w:val="00752522"/>
    <w:rsid w:val="007527C1"/>
    <w:rsid w:val="0075574C"/>
    <w:rsid w:val="00755EDF"/>
    <w:rsid w:val="0076692F"/>
    <w:rsid w:val="00767928"/>
    <w:rsid w:val="00776AAC"/>
    <w:rsid w:val="00783A39"/>
    <w:rsid w:val="00784437"/>
    <w:rsid w:val="00787FDD"/>
    <w:rsid w:val="007907A0"/>
    <w:rsid w:val="00790AAC"/>
    <w:rsid w:val="007A2439"/>
    <w:rsid w:val="007A75B2"/>
    <w:rsid w:val="007A7845"/>
    <w:rsid w:val="007A79FB"/>
    <w:rsid w:val="007B13B1"/>
    <w:rsid w:val="007B4F74"/>
    <w:rsid w:val="007B65D7"/>
    <w:rsid w:val="007C5322"/>
    <w:rsid w:val="007D2A64"/>
    <w:rsid w:val="007D36E1"/>
    <w:rsid w:val="007D7F8B"/>
    <w:rsid w:val="007E0708"/>
    <w:rsid w:val="007E40FA"/>
    <w:rsid w:val="007E5CC9"/>
    <w:rsid w:val="007E7981"/>
    <w:rsid w:val="007F1ABE"/>
    <w:rsid w:val="007F4CD3"/>
    <w:rsid w:val="007F58AD"/>
    <w:rsid w:val="00800522"/>
    <w:rsid w:val="008012D4"/>
    <w:rsid w:val="00803B36"/>
    <w:rsid w:val="008051CC"/>
    <w:rsid w:val="00805F69"/>
    <w:rsid w:val="00822045"/>
    <w:rsid w:val="00825F91"/>
    <w:rsid w:val="00831908"/>
    <w:rsid w:val="008322CE"/>
    <w:rsid w:val="008324DB"/>
    <w:rsid w:val="008335EA"/>
    <w:rsid w:val="00834451"/>
    <w:rsid w:val="0083450D"/>
    <w:rsid w:val="00840F72"/>
    <w:rsid w:val="00842ED7"/>
    <w:rsid w:val="00846B8F"/>
    <w:rsid w:val="00847554"/>
    <w:rsid w:val="008627B9"/>
    <w:rsid w:val="00862A25"/>
    <w:rsid w:val="008630D6"/>
    <w:rsid w:val="00865600"/>
    <w:rsid w:val="008713E3"/>
    <w:rsid w:val="00871742"/>
    <w:rsid w:val="008723AE"/>
    <w:rsid w:val="00872E4D"/>
    <w:rsid w:val="00873AFB"/>
    <w:rsid w:val="00873C90"/>
    <w:rsid w:val="00877ABE"/>
    <w:rsid w:val="00885004"/>
    <w:rsid w:val="00886003"/>
    <w:rsid w:val="008878D6"/>
    <w:rsid w:val="00891032"/>
    <w:rsid w:val="00892509"/>
    <w:rsid w:val="00897BB0"/>
    <w:rsid w:val="008A178A"/>
    <w:rsid w:val="008B334A"/>
    <w:rsid w:val="008B4C4B"/>
    <w:rsid w:val="008B4D77"/>
    <w:rsid w:val="008B59FB"/>
    <w:rsid w:val="008B5F14"/>
    <w:rsid w:val="008C24E2"/>
    <w:rsid w:val="008C4527"/>
    <w:rsid w:val="008D0725"/>
    <w:rsid w:val="008D2BD8"/>
    <w:rsid w:val="008D3F96"/>
    <w:rsid w:val="008D4E59"/>
    <w:rsid w:val="008D573F"/>
    <w:rsid w:val="008E1271"/>
    <w:rsid w:val="008E1309"/>
    <w:rsid w:val="008F4645"/>
    <w:rsid w:val="00913DB5"/>
    <w:rsid w:val="00916E91"/>
    <w:rsid w:val="00924EEA"/>
    <w:rsid w:val="00931EDC"/>
    <w:rsid w:val="0093431C"/>
    <w:rsid w:val="00934FD8"/>
    <w:rsid w:val="00937C1D"/>
    <w:rsid w:val="00940218"/>
    <w:rsid w:val="0094342E"/>
    <w:rsid w:val="009439E7"/>
    <w:rsid w:val="0094448E"/>
    <w:rsid w:val="00945027"/>
    <w:rsid w:val="00950DE0"/>
    <w:rsid w:val="00951941"/>
    <w:rsid w:val="00952D8A"/>
    <w:rsid w:val="009533B5"/>
    <w:rsid w:val="00957084"/>
    <w:rsid w:val="00957CCC"/>
    <w:rsid w:val="00960816"/>
    <w:rsid w:val="0096207D"/>
    <w:rsid w:val="00967C76"/>
    <w:rsid w:val="00974843"/>
    <w:rsid w:val="00975713"/>
    <w:rsid w:val="00976207"/>
    <w:rsid w:val="0098052C"/>
    <w:rsid w:val="00980E43"/>
    <w:rsid w:val="00981D1E"/>
    <w:rsid w:val="00981E0E"/>
    <w:rsid w:val="009866D6"/>
    <w:rsid w:val="00987770"/>
    <w:rsid w:val="00994CF0"/>
    <w:rsid w:val="009957E4"/>
    <w:rsid w:val="009965F2"/>
    <w:rsid w:val="009A33F3"/>
    <w:rsid w:val="009A3E3F"/>
    <w:rsid w:val="009B0C90"/>
    <w:rsid w:val="009B592C"/>
    <w:rsid w:val="009C037D"/>
    <w:rsid w:val="009C4A3F"/>
    <w:rsid w:val="009C7C11"/>
    <w:rsid w:val="009D0A16"/>
    <w:rsid w:val="009D138D"/>
    <w:rsid w:val="009D1BA0"/>
    <w:rsid w:val="009D3F39"/>
    <w:rsid w:val="009D5944"/>
    <w:rsid w:val="009D6689"/>
    <w:rsid w:val="009E3E14"/>
    <w:rsid w:val="009F3ABD"/>
    <w:rsid w:val="009F7575"/>
    <w:rsid w:val="00A00017"/>
    <w:rsid w:val="00A0155B"/>
    <w:rsid w:val="00A01B7B"/>
    <w:rsid w:val="00A0460D"/>
    <w:rsid w:val="00A05830"/>
    <w:rsid w:val="00A21A7F"/>
    <w:rsid w:val="00A2647E"/>
    <w:rsid w:val="00A359BF"/>
    <w:rsid w:val="00A37335"/>
    <w:rsid w:val="00A37782"/>
    <w:rsid w:val="00A37913"/>
    <w:rsid w:val="00A40E98"/>
    <w:rsid w:val="00A427EE"/>
    <w:rsid w:val="00A43445"/>
    <w:rsid w:val="00A53CB6"/>
    <w:rsid w:val="00A61F72"/>
    <w:rsid w:val="00A6540A"/>
    <w:rsid w:val="00A65C56"/>
    <w:rsid w:val="00A67977"/>
    <w:rsid w:val="00A72F79"/>
    <w:rsid w:val="00A76A33"/>
    <w:rsid w:val="00A76B30"/>
    <w:rsid w:val="00A77DA7"/>
    <w:rsid w:val="00A800D9"/>
    <w:rsid w:val="00A84E37"/>
    <w:rsid w:val="00A875BF"/>
    <w:rsid w:val="00A90BB3"/>
    <w:rsid w:val="00A90E48"/>
    <w:rsid w:val="00A95DBD"/>
    <w:rsid w:val="00A96C6E"/>
    <w:rsid w:val="00A97A3A"/>
    <w:rsid w:val="00AA3ECA"/>
    <w:rsid w:val="00AA644D"/>
    <w:rsid w:val="00AB1CFA"/>
    <w:rsid w:val="00AC31F5"/>
    <w:rsid w:val="00AC4293"/>
    <w:rsid w:val="00AC4A5C"/>
    <w:rsid w:val="00AC5CE8"/>
    <w:rsid w:val="00AC6A4A"/>
    <w:rsid w:val="00AD0CE8"/>
    <w:rsid w:val="00AD249F"/>
    <w:rsid w:val="00AD3473"/>
    <w:rsid w:val="00AD3F95"/>
    <w:rsid w:val="00AD7518"/>
    <w:rsid w:val="00AD7941"/>
    <w:rsid w:val="00AE164C"/>
    <w:rsid w:val="00AE40E1"/>
    <w:rsid w:val="00AE7D5B"/>
    <w:rsid w:val="00AF3C37"/>
    <w:rsid w:val="00AF4434"/>
    <w:rsid w:val="00AF69F2"/>
    <w:rsid w:val="00B01DD4"/>
    <w:rsid w:val="00B02772"/>
    <w:rsid w:val="00B03788"/>
    <w:rsid w:val="00B0651E"/>
    <w:rsid w:val="00B073DF"/>
    <w:rsid w:val="00B077FB"/>
    <w:rsid w:val="00B105BE"/>
    <w:rsid w:val="00B1073E"/>
    <w:rsid w:val="00B13F1D"/>
    <w:rsid w:val="00B14667"/>
    <w:rsid w:val="00B1491F"/>
    <w:rsid w:val="00B15E7A"/>
    <w:rsid w:val="00B16302"/>
    <w:rsid w:val="00B201DB"/>
    <w:rsid w:val="00B20C7F"/>
    <w:rsid w:val="00B22B6A"/>
    <w:rsid w:val="00B2401B"/>
    <w:rsid w:val="00B27D51"/>
    <w:rsid w:val="00B31E2E"/>
    <w:rsid w:val="00B32033"/>
    <w:rsid w:val="00B326C9"/>
    <w:rsid w:val="00B3754C"/>
    <w:rsid w:val="00B4153C"/>
    <w:rsid w:val="00B44F88"/>
    <w:rsid w:val="00B46C86"/>
    <w:rsid w:val="00B57763"/>
    <w:rsid w:val="00B626C0"/>
    <w:rsid w:val="00B627E3"/>
    <w:rsid w:val="00B65419"/>
    <w:rsid w:val="00B656F1"/>
    <w:rsid w:val="00B671A1"/>
    <w:rsid w:val="00B714B6"/>
    <w:rsid w:val="00B73598"/>
    <w:rsid w:val="00B73A99"/>
    <w:rsid w:val="00B74BE8"/>
    <w:rsid w:val="00B76067"/>
    <w:rsid w:val="00B76C6E"/>
    <w:rsid w:val="00B774FE"/>
    <w:rsid w:val="00B775B9"/>
    <w:rsid w:val="00B80318"/>
    <w:rsid w:val="00B84C07"/>
    <w:rsid w:val="00B90D76"/>
    <w:rsid w:val="00B93AB8"/>
    <w:rsid w:val="00BA4AE3"/>
    <w:rsid w:val="00BA6BCD"/>
    <w:rsid w:val="00BB1735"/>
    <w:rsid w:val="00BB1A7D"/>
    <w:rsid w:val="00BB2F1E"/>
    <w:rsid w:val="00BB361C"/>
    <w:rsid w:val="00BB3AFD"/>
    <w:rsid w:val="00BB60C6"/>
    <w:rsid w:val="00BC1F9D"/>
    <w:rsid w:val="00BC53CA"/>
    <w:rsid w:val="00BD369C"/>
    <w:rsid w:val="00BD39A4"/>
    <w:rsid w:val="00BD6D24"/>
    <w:rsid w:val="00BE00D7"/>
    <w:rsid w:val="00BE04A6"/>
    <w:rsid w:val="00BE0FA5"/>
    <w:rsid w:val="00BE4EDC"/>
    <w:rsid w:val="00BE71C5"/>
    <w:rsid w:val="00BF08D6"/>
    <w:rsid w:val="00BF52F5"/>
    <w:rsid w:val="00BF5E2E"/>
    <w:rsid w:val="00C0018D"/>
    <w:rsid w:val="00C0186D"/>
    <w:rsid w:val="00C05CB9"/>
    <w:rsid w:val="00C05DA2"/>
    <w:rsid w:val="00C10DD8"/>
    <w:rsid w:val="00C11361"/>
    <w:rsid w:val="00C1345E"/>
    <w:rsid w:val="00C139AE"/>
    <w:rsid w:val="00C1452A"/>
    <w:rsid w:val="00C15774"/>
    <w:rsid w:val="00C172B5"/>
    <w:rsid w:val="00C22B04"/>
    <w:rsid w:val="00C2301A"/>
    <w:rsid w:val="00C24BB7"/>
    <w:rsid w:val="00C279A7"/>
    <w:rsid w:val="00C34381"/>
    <w:rsid w:val="00C3498A"/>
    <w:rsid w:val="00C450E6"/>
    <w:rsid w:val="00C500B9"/>
    <w:rsid w:val="00C517C7"/>
    <w:rsid w:val="00C54C41"/>
    <w:rsid w:val="00C56F61"/>
    <w:rsid w:val="00C5780C"/>
    <w:rsid w:val="00C609A1"/>
    <w:rsid w:val="00C6166A"/>
    <w:rsid w:val="00C701A2"/>
    <w:rsid w:val="00C70593"/>
    <w:rsid w:val="00C70A9D"/>
    <w:rsid w:val="00C72FD4"/>
    <w:rsid w:val="00C90DDF"/>
    <w:rsid w:val="00C90EA3"/>
    <w:rsid w:val="00C959FD"/>
    <w:rsid w:val="00CD290D"/>
    <w:rsid w:val="00CD40F1"/>
    <w:rsid w:val="00CE0AB3"/>
    <w:rsid w:val="00CE1BCA"/>
    <w:rsid w:val="00CE4AED"/>
    <w:rsid w:val="00CE7B15"/>
    <w:rsid w:val="00CF5AA0"/>
    <w:rsid w:val="00CF7A5E"/>
    <w:rsid w:val="00D00511"/>
    <w:rsid w:val="00D00EA2"/>
    <w:rsid w:val="00D1012A"/>
    <w:rsid w:val="00D15E2C"/>
    <w:rsid w:val="00D160B5"/>
    <w:rsid w:val="00D17999"/>
    <w:rsid w:val="00D20299"/>
    <w:rsid w:val="00D2048C"/>
    <w:rsid w:val="00D30474"/>
    <w:rsid w:val="00D307B4"/>
    <w:rsid w:val="00D30C1F"/>
    <w:rsid w:val="00D36D1E"/>
    <w:rsid w:val="00D44AF0"/>
    <w:rsid w:val="00D44C1E"/>
    <w:rsid w:val="00D477D8"/>
    <w:rsid w:val="00D51E0F"/>
    <w:rsid w:val="00D544A2"/>
    <w:rsid w:val="00D62A49"/>
    <w:rsid w:val="00D65C93"/>
    <w:rsid w:val="00D673EC"/>
    <w:rsid w:val="00D71AB9"/>
    <w:rsid w:val="00D721BE"/>
    <w:rsid w:val="00D81A65"/>
    <w:rsid w:val="00D83D5E"/>
    <w:rsid w:val="00D868E4"/>
    <w:rsid w:val="00D90C22"/>
    <w:rsid w:val="00D917AE"/>
    <w:rsid w:val="00D93420"/>
    <w:rsid w:val="00D93A7C"/>
    <w:rsid w:val="00D95A45"/>
    <w:rsid w:val="00DA61C0"/>
    <w:rsid w:val="00DA63C3"/>
    <w:rsid w:val="00DA6D7B"/>
    <w:rsid w:val="00DB0476"/>
    <w:rsid w:val="00DB0F26"/>
    <w:rsid w:val="00DB3F5D"/>
    <w:rsid w:val="00DB414C"/>
    <w:rsid w:val="00DB6682"/>
    <w:rsid w:val="00DC07AD"/>
    <w:rsid w:val="00DC0E65"/>
    <w:rsid w:val="00DC2F39"/>
    <w:rsid w:val="00DC3EF2"/>
    <w:rsid w:val="00DC4B3E"/>
    <w:rsid w:val="00DD3A0D"/>
    <w:rsid w:val="00DD5B78"/>
    <w:rsid w:val="00DD6ABB"/>
    <w:rsid w:val="00DE1FE0"/>
    <w:rsid w:val="00DE4399"/>
    <w:rsid w:val="00DE7C45"/>
    <w:rsid w:val="00DF2263"/>
    <w:rsid w:val="00DF2401"/>
    <w:rsid w:val="00DF68EC"/>
    <w:rsid w:val="00DF70A5"/>
    <w:rsid w:val="00DF720B"/>
    <w:rsid w:val="00DF7674"/>
    <w:rsid w:val="00E0070C"/>
    <w:rsid w:val="00E01084"/>
    <w:rsid w:val="00E03ADD"/>
    <w:rsid w:val="00E04B58"/>
    <w:rsid w:val="00E05E8F"/>
    <w:rsid w:val="00E06434"/>
    <w:rsid w:val="00E069A0"/>
    <w:rsid w:val="00E06B26"/>
    <w:rsid w:val="00E078F5"/>
    <w:rsid w:val="00E1066F"/>
    <w:rsid w:val="00E11E05"/>
    <w:rsid w:val="00E133BC"/>
    <w:rsid w:val="00E14D90"/>
    <w:rsid w:val="00E20B47"/>
    <w:rsid w:val="00E23EFE"/>
    <w:rsid w:val="00E24835"/>
    <w:rsid w:val="00E25B9E"/>
    <w:rsid w:val="00E26B8F"/>
    <w:rsid w:val="00E30300"/>
    <w:rsid w:val="00E35664"/>
    <w:rsid w:val="00E35FBF"/>
    <w:rsid w:val="00E40CEB"/>
    <w:rsid w:val="00E50195"/>
    <w:rsid w:val="00E509FD"/>
    <w:rsid w:val="00E51C73"/>
    <w:rsid w:val="00E53E19"/>
    <w:rsid w:val="00E55537"/>
    <w:rsid w:val="00E562AD"/>
    <w:rsid w:val="00E57AA3"/>
    <w:rsid w:val="00E60BCF"/>
    <w:rsid w:val="00E65922"/>
    <w:rsid w:val="00E70E1F"/>
    <w:rsid w:val="00E7194A"/>
    <w:rsid w:val="00E722E6"/>
    <w:rsid w:val="00E72A22"/>
    <w:rsid w:val="00E73738"/>
    <w:rsid w:val="00E74DED"/>
    <w:rsid w:val="00E75BC8"/>
    <w:rsid w:val="00E76C8E"/>
    <w:rsid w:val="00E804F2"/>
    <w:rsid w:val="00E809CF"/>
    <w:rsid w:val="00E81A4E"/>
    <w:rsid w:val="00E82397"/>
    <w:rsid w:val="00E84333"/>
    <w:rsid w:val="00E8535E"/>
    <w:rsid w:val="00E85D75"/>
    <w:rsid w:val="00E878AE"/>
    <w:rsid w:val="00E9061C"/>
    <w:rsid w:val="00E9471F"/>
    <w:rsid w:val="00E94A8D"/>
    <w:rsid w:val="00E9537E"/>
    <w:rsid w:val="00E97FBC"/>
    <w:rsid w:val="00EA16B4"/>
    <w:rsid w:val="00EA4A6D"/>
    <w:rsid w:val="00EA6831"/>
    <w:rsid w:val="00EA6DC0"/>
    <w:rsid w:val="00EB0AA3"/>
    <w:rsid w:val="00EB26A2"/>
    <w:rsid w:val="00EB5108"/>
    <w:rsid w:val="00EC0DBA"/>
    <w:rsid w:val="00ED15F0"/>
    <w:rsid w:val="00ED7972"/>
    <w:rsid w:val="00EE7D22"/>
    <w:rsid w:val="00EF08B4"/>
    <w:rsid w:val="00EF0A0C"/>
    <w:rsid w:val="00EF391D"/>
    <w:rsid w:val="00EF5751"/>
    <w:rsid w:val="00EF7D91"/>
    <w:rsid w:val="00F069A5"/>
    <w:rsid w:val="00F07BF4"/>
    <w:rsid w:val="00F12D77"/>
    <w:rsid w:val="00F1446E"/>
    <w:rsid w:val="00F14597"/>
    <w:rsid w:val="00F17A16"/>
    <w:rsid w:val="00F20C41"/>
    <w:rsid w:val="00F21FE4"/>
    <w:rsid w:val="00F24D9F"/>
    <w:rsid w:val="00F25036"/>
    <w:rsid w:val="00F25599"/>
    <w:rsid w:val="00F279A8"/>
    <w:rsid w:val="00F30DD5"/>
    <w:rsid w:val="00F319D6"/>
    <w:rsid w:val="00F31C86"/>
    <w:rsid w:val="00F324D3"/>
    <w:rsid w:val="00F328B5"/>
    <w:rsid w:val="00F4097D"/>
    <w:rsid w:val="00F44E23"/>
    <w:rsid w:val="00F46982"/>
    <w:rsid w:val="00F549C5"/>
    <w:rsid w:val="00F56499"/>
    <w:rsid w:val="00F5719A"/>
    <w:rsid w:val="00F638AF"/>
    <w:rsid w:val="00F63DA4"/>
    <w:rsid w:val="00F6434E"/>
    <w:rsid w:val="00F665E4"/>
    <w:rsid w:val="00F7226A"/>
    <w:rsid w:val="00F72CB3"/>
    <w:rsid w:val="00F74F93"/>
    <w:rsid w:val="00F7687C"/>
    <w:rsid w:val="00F76B5D"/>
    <w:rsid w:val="00F8115A"/>
    <w:rsid w:val="00F82176"/>
    <w:rsid w:val="00F83D9A"/>
    <w:rsid w:val="00F953C7"/>
    <w:rsid w:val="00F95A15"/>
    <w:rsid w:val="00F97864"/>
    <w:rsid w:val="00FA3D7B"/>
    <w:rsid w:val="00FB258A"/>
    <w:rsid w:val="00FB4B03"/>
    <w:rsid w:val="00FB6096"/>
    <w:rsid w:val="00FC0330"/>
    <w:rsid w:val="00FC0709"/>
    <w:rsid w:val="00FC14C5"/>
    <w:rsid w:val="00FC448D"/>
    <w:rsid w:val="00FC71E4"/>
    <w:rsid w:val="00FC79EB"/>
    <w:rsid w:val="00FD2A6F"/>
    <w:rsid w:val="00FD2D1E"/>
    <w:rsid w:val="00FD4EF3"/>
    <w:rsid w:val="00FE7427"/>
    <w:rsid w:val="00FF1AB1"/>
    <w:rsid w:val="00FF1B59"/>
    <w:rsid w:val="00FF42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DFD7"/>
  <w15:docId w15:val="{EB0F7F02-7BE0-4EB1-B6DA-817735AA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Corpotesto">
    <w:name w:val="Body Text"/>
    <w:pPr>
      <w:jc w:val="both"/>
    </w:pPr>
    <w:rPr>
      <w:rFonts w:cs="Arial Unicode MS"/>
      <w:color w:val="000000"/>
      <w:sz w:val="24"/>
      <w:szCs w:val="24"/>
      <w:u w:color="000000"/>
    </w:rPr>
  </w:style>
  <w:style w:type="paragraph" w:customStyle="1" w:styleId="Didefault">
    <w:name w:val="Di default"/>
    <w:rPr>
      <w:rFonts w:ascii="Helvetica" w:eastAsia="Helvetica" w:hAnsi="Helvetica" w:cs="Helvetica"/>
      <w:color w:val="000000"/>
      <w:sz w:val="22"/>
      <w:szCs w:val="22"/>
    </w:rPr>
  </w:style>
  <w:style w:type="character" w:styleId="Rimandonotaapidipagina">
    <w:name w:val="footnote reference"/>
    <w:uiPriority w:val="99"/>
    <w:rPr>
      <w:vertAlign w:val="superscript"/>
    </w:rPr>
  </w:style>
  <w:style w:type="paragraph" w:styleId="Testonotaapidipagina">
    <w:name w:val="footnote text"/>
    <w:link w:val="TestonotaapidipaginaCarattere"/>
    <w:pPr>
      <w:jc w:val="both"/>
    </w:pPr>
    <w:rPr>
      <w:rFonts w:eastAsia="Times New Roman"/>
      <w:color w:val="000000"/>
      <w:u w:color="000000"/>
    </w:rPr>
  </w:style>
  <w:style w:type="paragraph" w:styleId="Paragrafoelenco">
    <w:name w:val="List Paragraph"/>
    <w:aliases w:val="Paragrafo elenco puntato"/>
    <w:link w:val="ParagrafoelencoCarattere"/>
    <w:uiPriority w:val="34"/>
    <w:qFormat/>
    <w:pPr>
      <w:ind w:left="720"/>
      <w:jc w:val="both"/>
    </w:pPr>
    <w:rPr>
      <w:rFonts w:eastAsia="Times New Roman"/>
      <w:color w:val="000000"/>
      <w:sz w:val="24"/>
      <w:szCs w:val="24"/>
      <w:u w:color="000000"/>
    </w:rPr>
  </w:style>
  <w:style w:type="numbering" w:customStyle="1" w:styleId="Stileimportato1">
    <w:name w:val="Stile importato 1"/>
    <w:pPr>
      <w:numPr>
        <w:numId w:val="1"/>
      </w:numPr>
    </w:pPr>
  </w:style>
  <w:style w:type="numbering" w:customStyle="1" w:styleId="Stileimportato2">
    <w:name w:val="Stile importato 2"/>
    <w:pPr>
      <w:numPr>
        <w:numId w:val="3"/>
      </w:numPr>
    </w:pPr>
  </w:style>
  <w:style w:type="numbering" w:customStyle="1" w:styleId="Stileimportato3">
    <w:name w:val="Stile importato 3"/>
    <w:pPr>
      <w:numPr>
        <w:numId w:val="5"/>
      </w:numPr>
    </w:pPr>
  </w:style>
  <w:style w:type="numbering" w:customStyle="1" w:styleId="Stileimportato4">
    <w:name w:val="Stile importato 4"/>
    <w:pPr>
      <w:numPr>
        <w:numId w:val="6"/>
      </w:numPr>
    </w:pPr>
  </w:style>
  <w:style w:type="paragraph" w:customStyle="1" w:styleId="CorpoA">
    <w:name w:val="Corpo A"/>
    <w:rPr>
      <w:rFonts w:ascii="Arial" w:hAnsi="Arial" w:cs="Arial Unicode MS"/>
      <w:color w:val="000000"/>
      <w:sz w:val="22"/>
      <w:szCs w:val="22"/>
      <w:u w:color="000000"/>
    </w:rPr>
  </w:style>
  <w:style w:type="numbering" w:customStyle="1" w:styleId="Stileimportato7">
    <w:name w:val="Stile importato 7"/>
    <w:pPr>
      <w:numPr>
        <w:numId w:val="7"/>
      </w:numPr>
    </w:pPr>
  </w:style>
  <w:style w:type="numbering" w:customStyle="1" w:styleId="Stileimportato8">
    <w:name w:val="Stile importato 8"/>
    <w:pPr>
      <w:numPr>
        <w:numId w:val="8"/>
      </w:numPr>
    </w:p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cs="Arial Unicode MS"/>
      <w:color w:val="000000"/>
      <w:u w:color="00000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D51E0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51E0F"/>
    <w:rPr>
      <w:rFonts w:ascii="Segoe UI" w:hAnsi="Segoe UI" w:cs="Segoe UI"/>
      <w:color w:val="000000"/>
      <w:sz w:val="18"/>
      <w:szCs w:val="18"/>
      <w:u w:color="000000"/>
    </w:rPr>
  </w:style>
  <w:style w:type="paragraph" w:customStyle="1" w:styleId="Normale1">
    <w:name w:val="Normale1"/>
    <w:basedOn w:val="Normale"/>
    <w:rsid w:val="0025599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styleId="Revisione">
    <w:name w:val="Revision"/>
    <w:hidden/>
    <w:uiPriority w:val="99"/>
    <w:semiHidden/>
    <w:rsid w:val="00B22B6A"/>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 w:type="paragraph" w:customStyle="1" w:styleId="Default">
    <w:name w:val="Default"/>
    <w:uiPriority w:val="99"/>
    <w:rsid w:val="000A1F3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Franklin Gothic Book" w:hAnsi="Franklin Gothic Book" w:cs="Franklin Gothic Book"/>
      <w:color w:val="000000"/>
      <w:sz w:val="24"/>
      <w:szCs w:val="24"/>
    </w:rPr>
  </w:style>
  <w:style w:type="character" w:customStyle="1" w:styleId="tlid-translation">
    <w:name w:val="tlid-translation"/>
    <w:basedOn w:val="Carpredefinitoparagrafo"/>
    <w:rsid w:val="00BC1F9D"/>
  </w:style>
  <w:style w:type="paragraph" w:styleId="NormaleWeb">
    <w:name w:val="Normal (Web)"/>
    <w:basedOn w:val="Normale"/>
    <w:uiPriority w:val="99"/>
    <w:unhideWhenUsed/>
    <w:rsid w:val="00546D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table" w:styleId="Grigliatabella">
    <w:name w:val="Table Grid"/>
    <w:basedOn w:val="Tabellanormale"/>
    <w:uiPriority w:val="39"/>
    <w:rsid w:val="00621101"/>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per">
    <w:name w:val="super"/>
    <w:basedOn w:val="Carpredefinitoparagrafo"/>
    <w:rsid w:val="002B6644"/>
  </w:style>
  <w:style w:type="paragraph" w:customStyle="1" w:styleId="Normale2">
    <w:name w:val="Normale2"/>
    <w:basedOn w:val="Normale"/>
    <w:rsid w:val="00F4097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Corpo">
    <w:name w:val="Corpo"/>
    <w:rsid w:val="00E0070C"/>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hAnsi="Helvetica Neue" w:cs="Arial Unicode MS"/>
      <w:color w:val="000000"/>
      <w:sz w:val="22"/>
      <w:szCs w:val="22"/>
      <w:bdr w:val="none" w:sz="0" w:space="0" w:color="auto"/>
    </w:rPr>
  </w:style>
  <w:style w:type="character" w:styleId="Collegamentovisitato">
    <w:name w:val="FollowedHyperlink"/>
    <w:basedOn w:val="Carpredefinitoparagrafo"/>
    <w:uiPriority w:val="99"/>
    <w:semiHidden/>
    <w:unhideWhenUsed/>
    <w:rsid w:val="00E05E8F"/>
    <w:rPr>
      <w:color w:val="800080"/>
      <w:u w:val="single"/>
    </w:rPr>
  </w:style>
  <w:style w:type="paragraph" w:customStyle="1" w:styleId="xl108">
    <w:name w:val="xl108"/>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09">
    <w:name w:val="xl109"/>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10">
    <w:name w:val="xl110"/>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11">
    <w:name w:val="xl111"/>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12">
    <w:name w:val="xl112"/>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13">
    <w:name w:val="xl113"/>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14">
    <w:name w:val="xl114"/>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15">
    <w:name w:val="xl115"/>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FF0000"/>
      <w:sz w:val="16"/>
      <w:szCs w:val="16"/>
      <w:bdr w:val="none" w:sz="0" w:space="0" w:color="auto"/>
      <w:lang w:val="en-GB" w:eastAsia="en-GB"/>
    </w:rPr>
  </w:style>
  <w:style w:type="paragraph" w:customStyle="1" w:styleId="xl116">
    <w:name w:val="xl116"/>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17">
    <w:name w:val="xl117"/>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18">
    <w:name w:val="xl118"/>
    <w:basedOn w:val="Normale"/>
    <w:rsid w:val="00E05E8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19">
    <w:name w:val="xl119"/>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20">
    <w:name w:val="xl120"/>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21">
    <w:name w:val="xl121"/>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22">
    <w:name w:val="xl122"/>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23">
    <w:name w:val="xl123"/>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24">
    <w:name w:val="xl124"/>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25">
    <w:name w:val="xl125"/>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26">
    <w:name w:val="xl126"/>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27">
    <w:name w:val="xl127"/>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28">
    <w:name w:val="xl128"/>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29">
    <w:name w:val="xl129"/>
    <w:basedOn w:val="Normale"/>
    <w:rsid w:val="00E05E8F"/>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30">
    <w:name w:val="xl130"/>
    <w:basedOn w:val="Normale"/>
    <w:rsid w:val="00E05E8F"/>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31">
    <w:name w:val="xl131"/>
    <w:basedOn w:val="Normale"/>
    <w:rsid w:val="00E05E8F"/>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32">
    <w:name w:val="xl132"/>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33">
    <w:name w:val="xl133"/>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34">
    <w:name w:val="xl134"/>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35">
    <w:name w:val="xl135"/>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36">
    <w:name w:val="xl136"/>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37">
    <w:name w:val="xl137"/>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38">
    <w:name w:val="xl138"/>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sz w:val="16"/>
      <w:szCs w:val="16"/>
      <w:bdr w:val="none" w:sz="0" w:space="0" w:color="auto"/>
      <w:lang w:val="en-GB" w:eastAsia="en-GB"/>
    </w:rPr>
  </w:style>
  <w:style w:type="paragraph" w:customStyle="1" w:styleId="xl139">
    <w:name w:val="xl139"/>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sz w:val="16"/>
      <w:szCs w:val="16"/>
      <w:bdr w:val="none" w:sz="0" w:space="0" w:color="auto"/>
      <w:lang w:val="en-GB" w:eastAsia="en-GB"/>
    </w:rPr>
  </w:style>
  <w:style w:type="paragraph" w:customStyle="1" w:styleId="xl140">
    <w:name w:val="xl140"/>
    <w:basedOn w:val="Normale"/>
    <w:rsid w:val="00E05E8F"/>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sz w:val="16"/>
      <w:szCs w:val="16"/>
      <w:bdr w:val="none" w:sz="0" w:space="0" w:color="auto"/>
      <w:lang w:val="en-GB" w:eastAsia="en-GB"/>
    </w:rPr>
  </w:style>
  <w:style w:type="paragraph" w:customStyle="1" w:styleId="xl141">
    <w:name w:val="xl141"/>
    <w:basedOn w:val="Normale"/>
    <w:rsid w:val="00E05E8F"/>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42">
    <w:name w:val="xl142"/>
    <w:basedOn w:val="Normale"/>
    <w:rsid w:val="00E05E8F"/>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43">
    <w:name w:val="xl143"/>
    <w:basedOn w:val="Normale"/>
    <w:rsid w:val="00E05E8F"/>
    <w:pPr>
      <w:pBdr>
        <w:top w:val="single" w:sz="4"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44">
    <w:name w:val="xl144"/>
    <w:basedOn w:val="Normale"/>
    <w:rsid w:val="00E05E8F"/>
    <w:pPr>
      <w:pBdr>
        <w:top w:val="single" w:sz="4"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45">
    <w:name w:val="xl145"/>
    <w:basedOn w:val="Normale"/>
    <w:rsid w:val="00E05E8F"/>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46">
    <w:name w:val="xl146"/>
    <w:basedOn w:val="Normale"/>
    <w:rsid w:val="00E05E8F"/>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47">
    <w:name w:val="xl147"/>
    <w:basedOn w:val="Normale"/>
    <w:rsid w:val="00E05E8F"/>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center"/>
    </w:pPr>
    <w:rPr>
      <w:rFonts w:eastAsia="Times New Roman" w:cs="Times New Roman"/>
      <w:b/>
      <w:bCs/>
      <w:color w:val="auto"/>
      <w:sz w:val="16"/>
      <w:szCs w:val="16"/>
      <w:bdr w:val="none" w:sz="0" w:space="0" w:color="auto"/>
      <w:lang w:val="en-GB" w:eastAsia="en-GB"/>
    </w:rPr>
  </w:style>
  <w:style w:type="paragraph" w:customStyle="1" w:styleId="xl148">
    <w:name w:val="xl148"/>
    <w:basedOn w:val="Normale"/>
    <w:rsid w:val="00E05E8F"/>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customStyle="1" w:styleId="xl149">
    <w:name w:val="xl149"/>
    <w:basedOn w:val="Normale"/>
    <w:rsid w:val="00E05E8F"/>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50">
    <w:name w:val="xl150"/>
    <w:basedOn w:val="Normale"/>
    <w:rsid w:val="00E05E8F"/>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51">
    <w:name w:val="xl151"/>
    <w:basedOn w:val="Normale"/>
    <w:rsid w:val="00E05E8F"/>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52">
    <w:name w:val="xl152"/>
    <w:basedOn w:val="Normale"/>
    <w:rsid w:val="00E05E8F"/>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53">
    <w:name w:val="xl153"/>
    <w:basedOn w:val="Normale"/>
    <w:rsid w:val="00E05E8F"/>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sz w:val="16"/>
      <w:szCs w:val="16"/>
      <w:bdr w:val="none" w:sz="0" w:space="0" w:color="auto"/>
      <w:lang w:val="en-GB" w:eastAsia="en-GB"/>
    </w:rPr>
  </w:style>
  <w:style w:type="paragraph" w:customStyle="1" w:styleId="xl154">
    <w:name w:val="xl154"/>
    <w:basedOn w:val="Normale"/>
    <w:rsid w:val="00E05E8F"/>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sz w:val="16"/>
      <w:szCs w:val="16"/>
      <w:bdr w:val="none" w:sz="0" w:space="0" w:color="auto"/>
      <w:lang w:val="en-GB" w:eastAsia="en-GB"/>
    </w:rPr>
  </w:style>
  <w:style w:type="paragraph" w:customStyle="1" w:styleId="xl155">
    <w:name w:val="xl155"/>
    <w:basedOn w:val="Normale"/>
    <w:rsid w:val="00E05E8F"/>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b/>
      <w:bCs/>
      <w:color w:val="auto"/>
      <w:sz w:val="16"/>
      <w:szCs w:val="16"/>
      <w:bdr w:val="none" w:sz="0" w:space="0" w:color="auto"/>
      <w:lang w:val="en-GB" w:eastAsia="en-GB"/>
    </w:rPr>
  </w:style>
  <w:style w:type="paragraph" w:styleId="Soggettocommento">
    <w:name w:val="annotation subject"/>
    <w:basedOn w:val="Testocommento"/>
    <w:next w:val="Testocommento"/>
    <w:link w:val="SoggettocommentoCarattere"/>
    <w:uiPriority w:val="99"/>
    <w:semiHidden/>
    <w:unhideWhenUsed/>
    <w:rsid w:val="00E05E8F"/>
    <w:rPr>
      <w:b/>
      <w:bCs/>
    </w:rPr>
  </w:style>
  <w:style w:type="character" w:customStyle="1" w:styleId="SoggettocommentoCarattere">
    <w:name w:val="Soggetto commento Carattere"/>
    <w:basedOn w:val="TestocommentoCarattere"/>
    <w:link w:val="Soggettocommento"/>
    <w:uiPriority w:val="99"/>
    <w:semiHidden/>
    <w:rsid w:val="00E05E8F"/>
    <w:rPr>
      <w:rFonts w:cs="Arial Unicode MS"/>
      <w:b/>
      <w:bCs/>
      <w:color w:val="000000"/>
      <w:u w:color="000000"/>
    </w:rPr>
  </w:style>
  <w:style w:type="paragraph" w:styleId="Nessunaspaziatura">
    <w:name w:val="No Spacing"/>
    <w:uiPriority w:val="1"/>
    <w:qFormat/>
    <w:rsid w:val="00E05E8F"/>
    <w:rPr>
      <w:rFonts w:cs="Arial Unicode MS"/>
      <w:color w:val="000000"/>
      <w:sz w:val="24"/>
      <w:szCs w:val="24"/>
      <w:u w:color="000000"/>
    </w:rPr>
  </w:style>
  <w:style w:type="paragraph" w:styleId="Intestazione">
    <w:name w:val="header"/>
    <w:basedOn w:val="Normale"/>
    <w:link w:val="IntestazioneCarattere"/>
    <w:uiPriority w:val="99"/>
    <w:unhideWhenUsed/>
    <w:rsid w:val="00E05E8F"/>
    <w:pPr>
      <w:tabs>
        <w:tab w:val="center" w:pos="4819"/>
        <w:tab w:val="right" w:pos="9638"/>
      </w:tabs>
    </w:pPr>
  </w:style>
  <w:style w:type="character" w:customStyle="1" w:styleId="IntestazioneCarattere">
    <w:name w:val="Intestazione Carattere"/>
    <w:basedOn w:val="Carpredefinitoparagrafo"/>
    <w:link w:val="Intestazione"/>
    <w:uiPriority w:val="99"/>
    <w:rsid w:val="00E05E8F"/>
    <w:rPr>
      <w:rFonts w:cs="Arial Unicode MS"/>
      <w:color w:val="000000"/>
      <w:sz w:val="24"/>
      <w:szCs w:val="24"/>
      <w:u w:color="000000"/>
    </w:rPr>
  </w:style>
  <w:style w:type="paragraph" w:styleId="Pidipagina">
    <w:name w:val="footer"/>
    <w:basedOn w:val="Normale"/>
    <w:link w:val="PidipaginaCarattere"/>
    <w:uiPriority w:val="99"/>
    <w:unhideWhenUsed/>
    <w:rsid w:val="00E05E8F"/>
    <w:pPr>
      <w:tabs>
        <w:tab w:val="center" w:pos="4819"/>
        <w:tab w:val="right" w:pos="9638"/>
      </w:tabs>
    </w:pPr>
  </w:style>
  <w:style w:type="character" w:customStyle="1" w:styleId="PidipaginaCarattere">
    <w:name w:val="Piè di pagina Carattere"/>
    <w:basedOn w:val="Carpredefinitoparagrafo"/>
    <w:link w:val="Pidipagina"/>
    <w:uiPriority w:val="99"/>
    <w:rsid w:val="00E05E8F"/>
    <w:rPr>
      <w:rFonts w:cs="Arial Unicode MS"/>
      <w:color w:val="000000"/>
      <w:sz w:val="24"/>
      <w:szCs w:val="24"/>
      <w:u w:color="000000"/>
    </w:rPr>
  </w:style>
  <w:style w:type="character" w:customStyle="1" w:styleId="ParagrafoelencoCarattere">
    <w:name w:val="Paragrafo elenco Carattere"/>
    <w:aliases w:val="Paragrafo elenco puntato Carattere"/>
    <w:link w:val="Paragrafoelenco"/>
    <w:uiPriority w:val="34"/>
    <w:locked/>
    <w:rsid w:val="000F6CCE"/>
    <w:rPr>
      <w:rFonts w:eastAsia="Times New Roman"/>
      <w:color w:val="000000"/>
      <w:sz w:val="24"/>
      <w:szCs w:val="24"/>
      <w:u w:color="000000"/>
    </w:rPr>
  </w:style>
  <w:style w:type="character" w:customStyle="1" w:styleId="TestonotaapidipaginaCarattere">
    <w:name w:val="Testo nota a piè di pagina Carattere"/>
    <w:basedOn w:val="Carpredefinitoparagrafo"/>
    <w:link w:val="Testonotaapidipagina"/>
    <w:rsid w:val="000F6CCE"/>
    <w:rPr>
      <w:rFonts w:eastAsia="Times New Roman"/>
      <w:color w:val="000000"/>
      <w:u w:color="000000"/>
    </w:rPr>
  </w:style>
  <w:style w:type="character" w:styleId="Enfasigrassetto">
    <w:name w:val="Strong"/>
    <w:basedOn w:val="Carpredefinitoparagrafo"/>
    <w:uiPriority w:val="22"/>
    <w:qFormat/>
    <w:rsid w:val="00C139AE"/>
    <w:rPr>
      <w:b/>
      <w:bCs/>
    </w:rPr>
  </w:style>
  <w:style w:type="character" w:customStyle="1" w:styleId="Menzionenonrisolta1">
    <w:name w:val="Menzione non risolta1"/>
    <w:basedOn w:val="Carpredefinitoparagrafo"/>
    <w:uiPriority w:val="99"/>
    <w:semiHidden/>
    <w:unhideWhenUsed/>
    <w:rsid w:val="00BE0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4182">
      <w:bodyDiv w:val="1"/>
      <w:marLeft w:val="0"/>
      <w:marRight w:val="0"/>
      <w:marTop w:val="0"/>
      <w:marBottom w:val="0"/>
      <w:divBdr>
        <w:top w:val="none" w:sz="0" w:space="0" w:color="auto"/>
        <w:left w:val="none" w:sz="0" w:space="0" w:color="auto"/>
        <w:bottom w:val="none" w:sz="0" w:space="0" w:color="auto"/>
        <w:right w:val="none" w:sz="0" w:space="0" w:color="auto"/>
      </w:divBdr>
    </w:div>
    <w:div w:id="51389179">
      <w:bodyDiv w:val="1"/>
      <w:marLeft w:val="0"/>
      <w:marRight w:val="0"/>
      <w:marTop w:val="0"/>
      <w:marBottom w:val="0"/>
      <w:divBdr>
        <w:top w:val="none" w:sz="0" w:space="0" w:color="auto"/>
        <w:left w:val="none" w:sz="0" w:space="0" w:color="auto"/>
        <w:bottom w:val="none" w:sz="0" w:space="0" w:color="auto"/>
        <w:right w:val="none" w:sz="0" w:space="0" w:color="auto"/>
      </w:divBdr>
      <w:divsChild>
        <w:div w:id="1579554694">
          <w:marLeft w:val="0"/>
          <w:marRight w:val="0"/>
          <w:marTop w:val="0"/>
          <w:marBottom w:val="0"/>
          <w:divBdr>
            <w:top w:val="none" w:sz="0" w:space="0" w:color="auto"/>
            <w:left w:val="none" w:sz="0" w:space="0" w:color="auto"/>
            <w:bottom w:val="none" w:sz="0" w:space="0" w:color="auto"/>
            <w:right w:val="none" w:sz="0" w:space="0" w:color="auto"/>
          </w:divBdr>
          <w:divsChild>
            <w:div w:id="1170636684">
              <w:marLeft w:val="0"/>
              <w:marRight w:val="0"/>
              <w:marTop w:val="0"/>
              <w:marBottom w:val="0"/>
              <w:divBdr>
                <w:top w:val="none" w:sz="0" w:space="0" w:color="auto"/>
                <w:left w:val="none" w:sz="0" w:space="0" w:color="auto"/>
                <w:bottom w:val="none" w:sz="0" w:space="0" w:color="auto"/>
                <w:right w:val="none" w:sz="0" w:space="0" w:color="auto"/>
              </w:divBdr>
              <w:divsChild>
                <w:div w:id="2056080381">
                  <w:marLeft w:val="0"/>
                  <w:marRight w:val="0"/>
                  <w:marTop w:val="0"/>
                  <w:marBottom w:val="0"/>
                  <w:divBdr>
                    <w:top w:val="none" w:sz="0" w:space="0" w:color="auto"/>
                    <w:left w:val="none" w:sz="0" w:space="0" w:color="auto"/>
                    <w:bottom w:val="none" w:sz="0" w:space="0" w:color="auto"/>
                    <w:right w:val="none" w:sz="0" w:space="0" w:color="auto"/>
                  </w:divBdr>
                  <w:divsChild>
                    <w:div w:id="1407412495">
                      <w:marLeft w:val="0"/>
                      <w:marRight w:val="0"/>
                      <w:marTop w:val="0"/>
                      <w:marBottom w:val="0"/>
                      <w:divBdr>
                        <w:top w:val="none" w:sz="0" w:space="0" w:color="auto"/>
                        <w:left w:val="none" w:sz="0" w:space="0" w:color="auto"/>
                        <w:bottom w:val="none" w:sz="0" w:space="0" w:color="auto"/>
                        <w:right w:val="none" w:sz="0" w:space="0" w:color="auto"/>
                      </w:divBdr>
                      <w:divsChild>
                        <w:div w:id="1671179533">
                          <w:marLeft w:val="0"/>
                          <w:marRight w:val="0"/>
                          <w:marTop w:val="0"/>
                          <w:marBottom w:val="0"/>
                          <w:divBdr>
                            <w:top w:val="none" w:sz="0" w:space="0" w:color="auto"/>
                            <w:left w:val="none" w:sz="0" w:space="0" w:color="auto"/>
                            <w:bottom w:val="none" w:sz="0" w:space="0" w:color="auto"/>
                            <w:right w:val="none" w:sz="0" w:space="0" w:color="auto"/>
                          </w:divBdr>
                          <w:divsChild>
                            <w:div w:id="955019097">
                              <w:marLeft w:val="0"/>
                              <w:marRight w:val="0"/>
                              <w:marTop w:val="0"/>
                              <w:marBottom w:val="0"/>
                              <w:divBdr>
                                <w:top w:val="none" w:sz="0" w:space="0" w:color="auto"/>
                                <w:left w:val="none" w:sz="0" w:space="0" w:color="auto"/>
                                <w:bottom w:val="none" w:sz="0" w:space="0" w:color="auto"/>
                                <w:right w:val="none" w:sz="0" w:space="0" w:color="auto"/>
                              </w:divBdr>
                              <w:divsChild>
                                <w:div w:id="1875344521">
                                  <w:marLeft w:val="0"/>
                                  <w:marRight w:val="0"/>
                                  <w:marTop w:val="0"/>
                                  <w:marBottom w:val="0"/>
                                  <w:divBdr>
                                    <w:top w:val="none" w:sz="0" w:space="0" w:color="auto"/>
                                    <w:left w:val="none" w:sz="0" w:space="0" w:color="auto"/>
                                    <w:bottom w:val="none" w:sz="0" w:space="0" w:color="auto"/>
                                    <w:right w:val="none" w:sz="0" w:space="0" w:color="auto"/>
                                  </w:divBdr>
                                  <w:divsChild>
                                    <w:div w:id="1644657312">
                                      <w:marLeft w:val="0"/>
                                      <w:marRight w:val="0"/>
                                      <w:marTop w:val="0"/>
                                      <w:marBottom w:val="0"/>
                                      <w:divBdr>
                                        <w:top w:val="none" w:sz="0" w:space="0" w:color="auto"/>
                                        <w:left w:val="none" w:sz="0" w:space="0" w:color="auto"/>
                                        <w:bottom w:val="none" w:sz="0" w:space="0" w:color="auto"/>
                                        <w:right w:val="none" w:sz="0" w:space="0" w:color="auto"/>
                                      </w:divBdr>
                                      <w:divsChild>
                                        <w:div w:id="1249267717">
                                          <w:marLeft w:val="0"/>
                                          <w:marRight w:val="0"/>
                                          <w:marTop w:val="0"/>
                                          <w:marBottom w:val="0"/>
                                          <w:divBdr>
                                            <w:top w:val="none" w:sz="0" w:space="0" w:color="auto"/>
                                            <w:left w:val="none" w:sz="0" w:space="0" w:color="auto"/>
                                            <w:bottom w:val="none" w:sz="0" w:space="0" w:color="auto"/>
                                            <w:right w:val="none" w:sz="0" w:space="0" w:color="auto"/>
                                          </w:divBdr>
                                          <w:divsChild>
                                            <w:div w:id="1929386348">
                                              <w:marLeft w:val="0"/>
                                              <w:marRight w:val="0"/>
                                              <w:marTop w:val="0"/>
                                              <w:marBottom w:val="0"/>
                                              <w:divBdr>
                                                <w:top w:val="none" w:sz="0" w:space="0" w:color="auto"/>
                                                <w:left w:val="none" w:sz="0" w:space="0" w:color="auto"/>
                                                <w:bottom w:val="none" w:sz="0" w:space="0" w:color="auto"/>
                                                <w:right w:val="none" w:sz="0" w:space="0" w:color="auto"/>
                                              </w:divBdr>
                                              <w:divsChild>
                                                <w:div w:id="38824106">
                                                  <w:marLeft w:val="0"/>
                                                  <w:marRight w:val="0"/>
                                                  <w:marTop w:val="0"/>
                                                  <w:marBottom w:val="0"/>
                                                  <w:divBdr>
                                                    <w:top w:val="none" w:sz="0" w:space="0" w:color="auto"/>
                                                    <w:left w:val="none" w:sz="0" w:space="0" w:color="auto"/>
                                                    <w:bottom w:val="none" w:sz="0" w:space="0" w:color="auto"/>
                                                    <w:right w:val="none" w:sz="0" w:space="0" w:color="auto"/>
                                                  </w:divBdr>
                                                  <w:divsChild>
                                                    <w:div w:id="93595707">
                                                      <w:marLeft w:val="0"/>
                                                      <w:marRight w:val="0"/>
                                                      <w:marTop w:val="0"/>
                                                      <w:marBottom w:val="0"/>
                                                      <w:divBdr>
                                                        <w:top w:val="none" w:sz="0" w:space="0" w:color="auto"/>
                                                        <w:left w:val="none" w:sz="0" w:space="0" w:color="auto"/>
                                                        <w:bottom w:val="none" w:sz="0" w:space="0" w:color="auto"/>
                                                        <w:right w:val="none" w:sz="0" w:space="0" w:color="auto"/>
                                                      </w:divBdr>
                                                      <w:divsChild>
                                                        <w:div w:id="497230934">
                                                          <w:marLeft w:val="0"/>
                                                          <w:marRight w:val="0"/>
                                                          <w:marTop w:val="0"/>
                                                          <w:marBottom w:val="0"/>
                                                          <w:divBdr>
                                                            <w:top w:val="none" w:sz="0" w:space="0" w:color="auto"/>
                                                            <w:left w:val="none" w:sz="0" w:space="0" w:color="auto"/>
                                                            <w:bottom w:val="none" w:sz="0" w:space="0" w:color="auto"/>
                                                            <w:right w:val="none" w:sz="0" w:space="0" w:color="auto"/>
                                                          </w:divBdr>
                                                          <w:divsChild>
                                                            <w:div w:id="302856850">
                                                              <w:marLeft w:val="0"/>
                                                              <w:marRight w:val="0"/>
                                                              <w:marTop w:val="0"/>
                                                              <w:marBottom w:val="0"/>
                                                              <w:divBdr>
                                                                <w:top w:val="none" w:sz="0" w:space="0" w:color="auto"/>
                                                                <w:left w:val="none" w:sz="0" w:space="0" w:color="auto"/>
                                                                <w:bottom w:val="none" w:sz="0" w:space="0" w:color="auto"/>
                                                                <w:right w:val="none" w:sz="0" w:space="0" w:color="auto"/>
                                                              </w:divBdr>
                                                              <w:divsChild>
                                                                <w:div w:id="71464155">
                                                                  <w:marLeft w:val="0"/>
                                                                  <w:marRight w:val="0"/>
                                                                  <w:marTop w:val="0"/>
                                                                  <w:marBottom w:val="0"/>
                                                                  <w:divBdr>
                                                                    <w:top w:val="none" w:sz="0" w:space="0" w:color="auto"/>
                                                                    <w:left w:val="none" w:sz="0" w:space="0" w:color="auto"/>
                                                                    <w:bottom w:val="none" w:sz="0" w:space="0" w:color="auto"/>
                                                                    <w:right w:val="none" w:sz="0" w:space="0" w:color="auto"/>
                                                                  </w:divBdr>
                                                                  <w:divsChild>
                                                                    <w:div w:id="94315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7045593">
      <w:bodyDiv w:val="1"/>
      <w:marLeft w:val="0"/>
      <w:marRight w:val="0"/>
      <w:marTop w:val="0"/>
      <w:marBottom w:val="0"/>
      <w:divBdr>
        <w:top w:val="none" w:sz="0" w:space="0" w:color="auto"/>
        <w:left w:val="none" w:sz="0" w:space="0" w:color="auto"/>
        <w:bottom w:val="none" w:sz="0" w:space="0" w:color="auto"/>
        <w:right w:val="none" w:sz="0" w:space="0" w:color="auto"/>
      </w:divBdr>
      <w:divsChild>
        <w:div w:id="1412583760">
          <w:marLeft w:val="0"/>
          <w:marRight w:val="0"/>
          <w:marTop w:val="0"/>
          <w:marBottom w:val="0"/>
          <w:divBdr>
            <w:top w:val="none" w:sz="0" w:space="0" w:color="auto"/>
            <w:left w:val="none" w:sz="0" w:space="0" w:color="auto"/>
            <w:bottom w:val="none" w:sz="0" w:space="0" w:color="auto"/>
            <w:right w:val="none" w:sz="0" w:space="0" w:color="auto"/>
          </w:divBdr>
          <w:divsChild>
            <w:div w:id="1893539527">
              <w:marLeft w:val="0"/>
              <w:marRight w:val="0"/>
              <w:marTop w:val="0"/>
              <w:marBottom w:val="0"/>
              <w:divBdr>
                <w:top w:val="none" w:sz="0" w:space="0" w:color="auto"/>
                <w:left w:val="none" w:sz="0" w:space="0" w:color="auto"/>
                <w:bottom w:val="none" w:sz="0" w:space="0" w:color="auto"/>
                <w:right w:val="none" w:sz="0" w:space="0" w:color="auto"/>
              </w:divBdr>
              <w:divsChild>
                <w:div w:id="2017877759">
                  <w:marLeft w:val="0"/>
                  <w:marRight w:val="0"/>
                  <w:marTop w:val="0"/>
                  <w:marBottom w:val="0"/>
                  <w:divBdr>
                    <w:top w:val="none" w:sz="0" w:space="0" w:color="auto"/>
                    <w:left w:val="none" w:sz="0" w:space="0" w:color="auto"/>
                    <w:bottom w:val="none" w:sz="0" w:space="0" w:color="auto"/>
                    <w:right w:val="none" w:sz="0" w:space="0" w:color="auto"/>
                  </w:divBdr>
                  <w:divsChild>
                    <w:div w:id="96408013">
                      <w:marLeft w:val="0"/>
                      <w:marRight w:val="0"/>
                      <w:marTop w:val="0"/>
                      <w:marBottom w:val="0"/>
                      <w:divBdr>
                        <w:top w:val="none" w:sz="0" w:space="0" w:color="auto"/>
                        <w:left w:val="none" w:sz="0" w:space="0" w:color="auto"/>
                        <w:bottom w:val="none" w:sz="0" w:space="0" w:color="auto"/>
                        <w:right w:val="none" w:sz="0" w:space="0" w:color="auto"/>
                      </w:divBdr>
                      <w:divsChild>
                        <w:div w:id="498812182">
                          <w:marLeft w:val="0"/>
                          <w:marRight w:val="0"/>
                          <w:marTop w:val="0"/>
                          <w:marBottom w:val="0"/>
                          <w:divBdr>
                            <w:top w:val="none" w:sz="0" w:space="0" w:color="auto"/>
                            <w:left w:val="none" w:sz="0" w:space="0" w:color="auto"/>
                            <w:bottom w:val="none" w:sz="0" w:space="0" w:color="auto"/>
                            <w:right w:val="none" w:sz="0" w:space="0" w:color="auto"/>
                          </w:divBdr>
                          <w:divsChild>
                            <w:div w:id="949433108">
                              <w:marLeft w:val="0"/>
                              <w:marRight w:val="0"/>
                              <w:marTop w:val="0"/>
                              <w:marBottom w:val="0"/>
                              <w:divBdr>
                                <w:top w:val="none" w:sz="0" w:space="0" w:color="auto"/>
                                <w:left w:val="none" w:sz="0" w:space="0" w:color="auto"/>
                                <w:bottom w:val="none" w:sz="0" w:space="0" w:color="auto"/>
                                <w:right w:val="none" w:sz="0" w:space="0" w:color="auto"/>
                              </w:divBdr>
                              <w:divsChild>
                                <w:div w:id="754208114">
                                  <w:marLeft w:val="0"/>
                                  <w:marRight w:val="0"/>
                                  <w:marTop w:val="0"/>
                                  <w:marBottom w:val="0"/>
                                  <w:divBdr>
                                    <w:top w:val="none" w:sz="0" w:space="0" w:color="auto"/>
                                    <w:left w:val="none" w:sz="0" w:space="0" w:color="auto"/>
                                    <w:bottom w:val="none" w:sz="0" w:space="0" w:color="auto"/>
                                    <w:right w:val="none" w:sz="0" w:space="0" w:color="auto"/>
                                  </w:divBdr>
                                  <w:divsChild>
                                    <w:div w:id="958536220">
                                      <w:marLeft w:val="0"/>
                                      <w:marRight w:val="0"/>
                                      <w:marTop w:val="0"/>
                                      <w:marBottom w:val="0"/>
                                      <w:divBdr>
                                        <w:top w:val="none" w:sz="0" w:space="0" w:color="auto"/>
                                        <w:left w:val="none" w:sz="0" w:space="0" w:color="auto"/>
                                        <w:bottom w:val="none" w:sz="0" w:space="0" w:color="auto"/>
                                        <w:right w:val="none" w:sz="0" w:space="0" w:color="auto"/>
                                      </w:divBdr>
                                      <w:divsChild>
                                        <w:div w:id="1388184194">
                                          <w:marLeft w:val="0"/>
                                          <w:marRight w:val="0"/>
                                          <w:marTop w:val="0"/>
                                          <w:marBottom w:val="0"/>
                                          <w:divBdr>
                                            <w:top w:val="none" w:sz="0" w:space="0" w:color="auto"/>
                                            <w:left w:val="none" w:sz="0" w:space="0" w:color="auto"/>
                                            <w:bottom w:val="none" w:sz="0" w:space="0" w:color="auto"/>
                                            <w:right w:val="none" w:sz="0" w:space="0" w:color="auto"/>
                                          </w:divBdr>
                                          <w:divsChild>
                                            <w:div w:id="19878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122484">
      <w:bodyDiv w:val="1"/>
      <w:marLeft w:val="0"/>
      <w:marRight w:val="0"/>
      <w:marTop w:val="0"/>
      <w:marBottom w:val="0"/>
      <w:divBdr>
        <w:top w:val="none" w:sz="0" w:space="0" w:color="auto"/>
        <w:left w:val="none" w:sz="0" w:space="0" w:color="auto"/>
        <w:bottom w:val="none" w:sz="0" w:space="0" w:color="auto"/>
        <w:right w:val="none" w:sz="0" w:space="0" w:color="auto"/>
      </w:divBdr>
    </w:div>
    <w:div w:id="159809211">
      <w:bodyDiv w:val="1"/>
      <w:marLeft w:val="0"/>
      <w:marRight w:val="0"/>
      <w:marTop w:val="0"/>
      <w:marBottom w:val="0"/>
      <w:divBdr>
        <w:top w:val="none" w:sz="0" w:space="0" w:color="auto"/>
        <w:left w:val="none" w:sz="0" w:space="0" w:color="auto"/>
        <w:bottom w:val="none" w:sz="0" w:space="0" w:color="auto"/>
        <w:right w:val="none" w:sz="0" w:space="0" w:color="auto"/>
      </w:divBdr>
    </w:div>
    <w:div w:id="165486820">
      <w:bodyDiv w:val="1"/>
      <w:marLeft w:val="0"/>
      <w:marRight w:val="0"/>
      <w:marTop w:val="0"/>
      <w:marBottom w:val="0"/>
      <w:divBdr>
        <w:top w:val="none" w:sz="0" w:space="0" w:color="auto"/>
        <w:left w:val="none" w:sz="0" w:space="0" w:color="auto"/>
        <w:bottom w:val="none" w:sz="0" w:space="0" w:color="auto"/>
        <w:right w:val="none" w:sz="0" w:space="0" w:color="auto"/>
      </w:divBdr>
    </w:div>
    <w:div w:id="173885426">
      <w:bodyDiv w:val="1"/>
      <w:marLeft w:val="0"/>
      <w:marRight w:val="0"/>
      <w:marTop w:val="0"/>
      <w:marBottom w:val="0"/>
      <w:divBdr>
        <w:top w:val="none" w:sz="0" w:space="0" w:color="auto"/>
        <w:left w:val="none" w:sz="0" w:space="0" w:color="auto"/>
        <w:bottom w:val="none" w:sz="0" w:space="0" w:color="auto"/>
        <w:right w:val="none" w:sz="0" w:space="0" w:color="auto"/>
      </w:divBdr>
    </w:div>
    <w:div w:id="205526790">
      <w:bodyDiv w:val="1"/>
      <w:marLeft w:val="0"/>
      <w:marRight w:val="0"/>
      <w:marTop w:val="0"/>
      <w:marBottom w:val="0"/>
      <w:divBdr>
        <w:top w:val="none" w:sz="0" w:space="0" w:color="auto"/>
        <w:left w:val="none" w:sz="0" w:space="0" w:color="auto"/>
        <w:bottom w:val="none" w:sz="0" w:space="0" w:color="auto"/>
        <w:right w:val="none" w:sz="0" w:space="0" w:color="auto"/>
      </w:divBdr>
      <w:divsChild>
        <w:div w:id="1193811637">
          <w:marLeft w:val="0"/>
          <w:marRight w:val="0"/>
          <w:marTop w:val="0"/>
          <w:marBottom w:val="0"/>
          <w:divBdr>
            <w:top w:val="none" w:sz="0" w:space="0" w:color="auto"/>
            <w:left w:val="none" w:sz="0" w:space="0" w:color="auto"/>
            <w:bottom w:val="none" w:sz="0" w:space="0" w:color="auto"/>
            <w:right w:val="none" w:sz="0" w:space="0" w:color="auto"/>
          </w:divBdr>
          <w:divsChild>
            <w:div w:id="198397762">
              <w:marLeft w:val="0"/>
              <w:marRight w:val="0"/>
              <w:marTop w:val="0"/>
              <w:marBottom w:val="0"/>
              <w:divBdr>
                <w:top w:val="none" w:sz="0" w:space="0" w:color="auto"/>
                <w:left w:val="none" w:sz="0" w:space="0" w:color="auto"/>
                <w:bottom w:val="none" w:sz="0" w:space="0" w:color="auto"/>
                <w:right w:val="none" w:sz="0" w:space="0" w:color="auto"/>
              </w:divBdr>
              <w:divsChild>
                <w:div w:id="1146628059">
                  <w:marLeft w:val="0"/>
                  <w:marRight w:val="0"/>
                  <w:marTop w:val="0"/>
                  <w:marBottom w:val="0"/>
                  <w:divBdr>
                    <w:top w:val="none" w:sz="0" w:space="0" w:color="auto"/>
                    <w:left w:val="none" w:sz="0" w:space="0" w:color="auto"/>
                    <w:bottom w:val="none" w:sz="0" w:space="0" w:color="auto"/>
                    <w:right w:val="none" w:sz="0" w:space="0" w:color="auto"/>
                  </w:divBdr>
                  <w:divsChild>
                    <w:div w:id="763456511">
                      <w:marLeft w:val="0"/>
                      <w:marRight w:val="0"/>
                      <w:marTop w:val="0"/>
                      <w:marBottom w:val="0"/>
                      <w:divBdr>
                        <w:top w:val="none" w:sz="0" w:space="0" w:color="auto"/>
                        <w:left w:val="none" w:sz="0" w:space="0" w:color="auto"/>
                        <w:bottom w:val="none" w:sz="0" w:space="0" w:color="auto"/>
                        <w:right w:val="none" w:sz="0" w:space="0" w:color="auto"/>
                      </w:divBdr>
                      <w:divsChild>
                        <w:div w:id="594948561">
                          <w:marLeft w:val="0"/>
                          <w:marRight w:val="0"/>
                          <w:marTop w:val="0"/>
                          <w:marBottom w:val="0"/>
                          <w:divBdr>
                            <w:top w:val="none" w:sz="0" w:space="0" w:color="auto"/>
                            <w:left w:val="none" w:sz="0" w:space="0" w:color="auto"/>
                            <w:bottom w:val="none" w:sz="0" w:space="0" w:color="auto"/>
                            <w:right w:val="none" w:sz="0" w:space="0" w:color="auto"/>
                          </w:divBdr>
                          <w:divsChild>
                            <w:div w:id="1622375924">
                              <w:marLeft w:val="0"/>
                              <w:marRight w:val="0"/>
                              <w:marTop w:val="0"/>
                              <w:marBottom w:val="0"/>
                              <w:divBdr>
                                <w:top w:val="none" w:sz="0" w:space="0" w:color="auto"/>
                                <w:left w:val="none" w:sz="0" w:space="0" w:color="auto"/>
                                <w:bottom w:val="none" w:sz="0" w:space="0" w:color="auto"/>
                                <w:right w:val="none" w:sz="0" w:space="0" w:color="auto"/>
                              </w:divBdr>
                              <w:divsChild>
                                <w:div w:id="1194924893">
                                  <w:marLeft w:val="0"/>
                                  <w:marRight w:val="0"/>
                                  <w:marTop w:val="0"/>
                                  <w:marBottom w:val="0"/>
                                  <w:divBdr>
                                    <w:top w:val="none" w:sz="0" w:space="0" w:color="auto"/>
                                    <w:left w:val="none" w:sz="0" w:space="0" w:color="auto"/>
                                    <w:bottom w:val="none" w:sz="0" w:space="0" w:color="auto"/>
                                    <w:right w:val="none" w:sz="0" w:space="0" w:color="auto"/>
                                  </w:divBdr>
                                  <w:divsChild>
                                    <w:div w:id="901066440">
                                      <w:marLeft w:val="0"/>
                                      <w:marRight w:val="0"/>
                                      <w:marTop w:val="0"/>
                                      <w:marBottom w:val="0"/>
                                      <w:divBdr>
                                        <w:top w:val="none" w:sz="0" w:space="0" w:color="auto"/>
                                        <w:left w:val="none" w:sz="0" w:space="0" w:color="auto"/>
                                        <w:bottom w:val="none" w:sz="0" w:space="0" w:color="auto"/>
                                        <w:right w:val="none" w:sz="0" w:space="0" w:color="auto"/>
                                      </w:divBdr>
                                      <w:divsChild>
                                        <w:div w:id="1918972529">
                                          <w:marLeft w:val="0"/>
                                          <w:marRight w:val="0"/>
                                          <w:marTop w:val="0"/>
                                          <w:marBottom w:val="0"/>
                                          <w:divBdr>
                                            <w:top w:val="none" w:sz="0" w:space="0" w:color="auto"/>
                                            <w:left w:val="none" w:sz="0" w:space="0" w:color="auto"/>
                                            <w:bottom w:val="none" w:sz="0" w:space="0" w:color="auto"/>
                                            <w:right w:val="none" w:sz="0" w:space="0" w:color="auto"/>
                                          </w:divBdr>
                                          <w:divsChild>
                                            <w:div w:id="11923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6040646">
      <w:bodyDiv w:val="1"/>
      <w:marLeft w:val="0"/>
      <w:marRight w:val="0"/>
      <w:marTop w:val="0"/>
      <w:marBottom w:val="0"/>
      <w:divBdr>
        <w:top w:val="none" w:sz="0" w:space="0" w:color="auto"/>
        <w:left w:val="none" w:sz="0" w:space="0" w:color="auto"/>
        <w:bottom w:val="none" w:sz="0" w:space="0" w:color="auto"/>
        <w:right w:val="none" w:sz="0" w:space="0" w:color="auto"/>
      </w:divBdr>
    </w:div>
    <w:div w:id="244338368">
      <w:bodyDiv w:val="1"/>
      <w:marLeft w:val="0"/>
      <w:marRight w:val="0"/>
      <w:marTop w:val="0"/>
      <w:marBottom w:val="0"/>
      <w:divBdr>
        <w:top w:val="none" w:sz="0" w:space="0" w:color="auto"/>
        <w:left w:val="none" w:sz="0" w:space="0" w:color="auto"/>
        <w:bottom w:val="none" w:sz="0" w:space="0" w:color="auto"/>
        <w:right w:val="none" w:sz="0" w:space="0" w:color="auto"/>
      </w:divBdr>
    </w:div>
    <w:div w:id="270163036">
      <w:bodyDiv w:val="1"/>
      <w:marLeft w:val="0"/>
      <w:marRight w:val="0"/>
      <w:marTop w:val="0"/>
      <w:marBottom w:val="0"/>
      <w:divBdr>
        <w:top w:val="none" w:sz="0" w:space="0" w:color="auto"/>
        <w:left w:val="none" w:sz="0" w:space="0" w:color="auto"/>
        <w:bottom w:val="none" w:sz="0" w:space="0" w:color="auto"/>
        <w:right w:val="none" w:sz="0" w:space="0" w:color="auto"/>
      </w:divBdr>
    </w:div>
    <w:div w:id="297536454">
      <w:bodyDiv w:val="1"/>
      <w:marLeft w:val="0"/>
      <w:marRight w:val="0"/>
      <w:marTop w:val="0"/>
      <w:marBottom w:val="0"/>
      <w:divBdr>
        <w:top w:val="none" w:sz="0" w:space="0" w:color="auto"/>
        <w:left w:val="none" w:sz="0" w:space="0" w:color="auto"/>
        <w:bottom w:val="none" w:sz="0" w:space="0" w:color="auto"/>
        <w:right w:val="none" w:sz="0" w:space="0" w:color="auto"/>
      </w:divBdr>
    </w:div>
    <w:div w:id="309864907">
      <w:bodyDiv w:val="1"/>
      <w:marLeft w:val="0"/>
      <w:marRight w:val="0"/>
      <w:marTop w:val="0"/>
      <w:marBottom w:val="0"/>
      <w:divBdr>
        <w:top w:val="none" w:sz="0" w:space="0" w:color="auto"/>
        <w:left w:val="none" w:sz="0" w:space="0" w:color="auto"/>
        <w:bottom w:val="none" w:sz="0" w:space="0" w:color="auto"/>
        <w:right w:val="none" w:sz="0" w:space="0" w:color="auto"/>
      </w:divBdr>
      <w:divsChild>
        <w:div w:id="2074154022">
          <w:marLeft w:val="0"/>
          <w:marRight w:val="0"/>
          <w:marTop w:val="0"/>
          <w:marBottom w:val="0"/>
          <w:divBdr>
            <w:top w:val="none" w:sz="0" w:space="0" w:color="auto"/>
            <w:left w:val="none" w:sz="0" w:space="0" w:color="auto"/>
            <w:bottom w:val="none" w:sz="0" w:space="0" w:color="auto"/>
            <w:right w:val="none" w:sz="0" w:space="0" w:color="auto"/>
          </w:divBdr>
          <w:divsChild>
            <w:div w:id="975528516">
              <w:marLeft w:val="0"/>
              <w:marRight w:val="0"/>
              <w:marTop w:val="0"/>
              <w:marBottom w:val="0"/>
              <w:divBdr>
                <w:top w:val="none" w:sz="0" w:space="0" w:color="auto"/>
                <w:left w:val="none" w:sz="0" w:space="0" w:color="auto"/>
                <w:bottom w:val="none" w:sz="0" w:space="0" w:color="auto"/>
                <w:right w:val="none" w:sz="0" w:space="0" w:color="auto"/>
              </w:divBdr>
              <w:divsChild>
                <w:div w:id="1060055501">
                  <w:marLeft w:val="0"/>
                  <w:marRight w:val="0"/>
                  <w:marTop w:val="0"/>
                  <w:marBottom w:val="0"/>
                  <w:divBdr>
                    <w:top w:val="none" w:sz="0" w:space="0" w:color="auto"/>
                    <w:left w:val="none" w:sz="0" w:space="0" w:color="auto"/>
                    <w:bottom w:val="none" w:sz="0" w:space="0" w:color="auto"/>
                    <w:right w:val="none" w:sz="0" w:space="0" w:color="auto"/>
                  </w:divBdr>
                  <w:divsChild>
                    <w:div w:id="753630685">
                      <w:marLeft w:val="0"/>
                      <w:marRight w:val="0"/>
                      <w:marTop w:val="0"/>
                      <w:marBottom w:val="0"/>
                      <w:divBdr>
                        <w:top w:val="none" w:sz="0" w:space="0" w:color="auto"/>
                        <w:left w:val="none" w:sz="0" w:space="0" w:color="auto"/>
                        <w:bottom w:val="none" w:sz="0" w:space="0" w:color="auto"/>
                        <w:right w:val="none" w:sz="0" w:space="0" w:color="auto"/>
                      </w:divBdr>
                      <w:divsChild>
                        <w:div w:id="1180389129">
                          <w:marLeft w:val="0"/>
                          <w:marRight w:val="0"/>
                          <w:marTop w:val="0"/>
                          <w:marBottom w:val="0"/>
                          <w:divBdr>
                            <w:top w:val="none" w:sz="0" w:space="0" w:color="auto"/>
                            <w:left w:val="none" w:sz="0" w:space="0" w:color="auto"/>
                            <w:bottom w:val="none" w:sz="0" w:space="0" w:color="auto"/>
                            <w:right w:val="none" w:sz="0" w:space="0" w:color="auto"/>
                          </w:divBdr>
                          <w:divsChild>
                            <w:div w:id="156462843">
                              <w:marLeft w:val="0"/>
                              <w:marRight w:val="0"/>
                              <w:marTop w:val="0"/>
                              <w:marBottom w:val="0"/>
                              <w:divBdr>
                                <w:top w:val="none" w:sz="0" w:space="0" w:color="auto"/>
                                <w:left w:val="none" w:sz="0" w:space="0" w:color="auto"/>
                                <w:bottom w:val="none" w:sz="0" w:space="0" w:color="auto"/>
                                <w:right w:val="none" w:sz="0" w:space="0" w:color="auto"/>
                              </w:divBdr>
                              <w:divsChild>
                                <w:div w:id="485820377">
                                  <w:marLeft w:val="0"/>
                                  <w:marRight w:val="0"/>
                                  <w:marTop w:val="0"/>
                                  <w:marBottom w:val="0"/>
                                  <w:divBdr>
                                    <w:top w:val="none" w:sz="0" w:space="0" w:color="auto"/>
                                    <w:left w:val="none" w:sz="0" w:space="0" w:color="auto"/>
                                    <w:bottom w:val="none" w:sz="0" w:space="0" w:color="auto"/>
                                    <w:right w:val="none" w:sz="0" w:space="0" w:color="auto"/>
                                  </w:divBdr>
                                  <w:divsChild>
                                    <w:div w:id="1511407728">
                                      <w:marLeft w:val="0"/>
                                      <w:marRight w:val="0"/>
                                      <w:marTop w:val="0"/>
                                      <w:marBottom w:val="0"/>
                                      <w:divBdr>
                                        <w:top w:val="none" w:sz="0" w:space="0" w:color="auto"/>
                                        <w:left w:val="none" w:sz="0" w:space="0" w:color="auto"/>
                                        <w:bottom w:val="none" w:sz="0" w:space="0" w:color="auto"/>
                                        <w:right w:val="none" w:sz="0" w:space="0" w:color="auto"/>
                                      </w:divBdr>
                                      <w:divsChild>
                                        <w:div w:id="5170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0208887">
      <w:bodyDiv w:val="1"/>
      <w:marLeft w:val="0"/>
      <w:marRight w:val="0"/>
      <w:marTop w:val="0"/>
      <w:marBottom w:val="0"/>
      <w:divBdr>
        <w:top w:val="none" w:sz="0" w:space="0" w:color="auto"/>
        <w:left w:val="none" w:sz="0" w:space="0" w:color="auto"/>
        <w:bottom w:val="none" w:sz="0" w:space="0" w:color="auto"/>
        <w:right w:val="none" w:sz="0" w:space="0" w:color="auto"/>
      </w:divBdr>
      <w:divsChild>
        <w:div w:id="922833055">
          <w:marLeft w:val="0"/>
          <w:marRight w:val="0"/>
          <w:marTop w:val="0"/>
          <w:marBottom w:val="0"/>
          <w:divBdr>
            <w:top w:val="none" w:sz="0" w:space="0" w:color="auto"/>
            <w:left w:val="none" w:sz="0" w:space="0" w:color="auto"/>
            <w:bottom w:val="none" w:sz="0" w:space="0" w:color="auto"/>
            <w:right w:val="none" w:sz="0" w:space="0" w:color="auto"/>
          </w:divBdr>
          <w:divsChild>
            <w:div w:id="1112285711">
              <w:marLeft w:val="0"/>
              <w:marRight w:val="0"/>
              <w:marTop w:val="0"/>
              <w:marBottom w:val="0"/>
              <w:divBdr>
                <w:top w:val="none" w:sz="0" w:space="0" w:color="auto"/>
                <w:left w:val="none" w:sz="0" w:space="0" w:color="auto"/>
                <w:bottom w:val="none" w:sz="0" w:space="0" w:color="auto"/>
                <w:right w:val="none" w:sz="0" w:space="0" w:color="auto"/>
              </w:divBdr>
              <w:divsChild>
                <w:div w:id="157506151">
                  <w:marLeft w:val="0"/>
                  <w:marRight w:val="0"/>
                  <w:marTop w:val="0"/>
                  <w:marBottom w:val="0"/>
                  <w:divBdr>
                    <w:top w:val="none" w:sz="0" w:space="0" w:color="auto"/>
                    <w:left w:val="none" w:sz="0" w:space="0" w:color="auto"/>
                    <w:bottom w:val="none" w:sz="0" w:space="0" w:color="auto"/>
                    <w:right w:val="none" w:sz="0" w:space="0" w:color="auto"/>
                  </w:divBdr>
                  <w:divsChild>
                    <w:div w:id="1468938501">
                      <w:marLeft w:val="0"/>
                      <w:marRight w:val="0"/>
                      <w:marTop w:val="0"/>
                      <w:marBottom w:val="0"/>
                      <w:divBdr>
                        <w:top w:val="none" w:sz="0" w:space="0" w:color="auto"/>
                        <w:left w:val="none" w:sz="0" w:space="0" w:color="auto"/>
                        <w:bottom w:val="none" w:sz="0" w:space="0" w:color="auto"/>
                        <w:right w:val="none" w:sz="0" w:space="0" w:color="auto"/>
                      </w:divBdr>
                      <w:divsChild>
                        <w:div w:id="1844203761">
                          <w:marLeft w:val="0"/>
                          <w:marRight w:val="0"/>
                          <w:marTop w:val="0"/>
                          <w:marBottom w:val="0"/>
                          <w:divBdr>
                            <w:top w:val="none" w:sz="0" w:space="0" w:color="auto"/>
                            <w:left w:val="none" w:sz="0" w:space="0" w:color="auto"/>
                            <w:bottom w:val="none" w:sz="0" w:space="0" w:color="auto"/>
                            <w:right w:val="none" w:sz="0" w:space="0" w:color="auto"/>
                          </w:divBdr>
                          <w:divsChild>
                            <w:div w:id="310133167">
                              <w:marLeft w:val="0"/>
                              <w:marRight w:val="0"/>
                              <w:marTop w:val="0"/>
                              <w:marBottom w:val="0"/>
                              <w:divBdr>
                                <w:top w:val="none" w:sz="0" w:space="0" w:color="auto"/>
                                <w:left w:val="none" w:sz="0" w:space="0" w:color="auto"/>
                                <w:bottom w:val="none" w:sz="0" w:space="0" w:color="auto"/>
                                <w:right w:val="none" w:sz="0" w:space="0" w:color="auto"/>
                              </w:divBdr>
                              <w:divsChild>
                                <w:div w:id="872184597">
                                  <w:marLeft w:val="0"/>
                                  <w:marRight w:val="0"/>
                                  <w:marTop w:val="0"/>
                                  <w:marBottom w:val="0"/>
                                  <w:divBdr>
                                    <w:top w:val="none" w:sz="0" w:space="0" w:color="auto"/>
                                    <w:left w:val="none" w:sz="0" w:space="0" w:color="auto"/>
                                    <w:bottom w:val="none" w:sz="0" w:space="0" w:color="auto"/>
                                    <w:right w:val="none" w:sz="0" w:space="0" w:color="auto"/>
                                  </w:divBdr>
                                  <w:divsChild>
                                    <w:div w:id="239800042">
                                      <w:marLeft w:val="0"/>
                                      <w:marRight w:val="0"/>
                                      <w:marTop w:val="0"/>
                                      <w:marBottom w:val="0"/>
                                      <w:divBdr>
                                        <w:top w:val="none" w:sz="0" w:space="0" w:color="auto"/>
                                        <w:left w:val="none" w:sz="0" w:space="0" w:color="auto"/>
                                        <w:bottom w:val="none" w:sz="0" w:space="0" w:color="auto"/>
                                        <w:right w:val="none" w:sz="0" w:space="0" w:color="auto"/>
                                      </w:divBdr>
                                      <w:divsChild>
                                        <w:div w:id="1072585054">
                                          <w:marLeft w:val="0"/>
                                          <w:marRight w:val="0"/>
                                          <w:marTop w:val="0"/>
                                          <w:marBottom w:val="0"/>
                                          <w:divBdr>
                                            <w:top w:val="none" w:sz="0" w:space="0" w:color="auto"/>
                                            <w:left w:val="none" w:sz="0" w:space="0" w:color="auto"/>
                                            <w:bottom w:val="none" w:sz="0" w:space="0" w:color="auto"/>
                                            <w:right w:val="none" w:sz="0" w:space="0" w:color="auto"/>
                                          </w:divBdr>
                                          <w:divsChild>
                                            <w:div w:id="386875848">
                                              <w:marLeft w:val="0"/>
                                              <w:marRight w:val="0"/>
                                              <w:marTop w:val="0"/>
                                              <w:marBottom w:val="0"/>
                                              <w:divBdr>
                                                <w:top w:val="none" w:sz="0" w:space="0" w:color="auto"/>
                                                <w:left w:val="none" w:sz="0" w:space="0" w:color="auto"/>
                                                <w:bottom w:val="none" w:sz="0" w:space="0" w:color="auto"/>
                                                <w:right w:val="none" w:sz="0" w:space="0" w:color="auto"/>
                                              </w:divBdr>
                                              <w:divsChild>
                                                <w:div w:id="1833718577">
                                                  <w:marLeft w:val="0"/>
                                                  <w:marRight w:val="0"/>
                                                  <w:marTop w:val="0"/>
                                                  <w:marBottom w:val="0"/>
                                                  <w:divBdr>
                                                    <w:top w:val="none" w:sz="0" w:space="0" w:color="auto"/>
                                                    <w:left w:val="none" w:sz="0" w:space="0" w:color="auto"/>
                                                    <w:bottom w:val="none" w:sz="0" w:space="0" w:color="auto"/>
                                                    <w:right w:val="none" w:sz="0" w:space="0" w:color="auto"/>
                                                  </w:divBdr>
                                                  <w:divsChild>
                                                    <w:div w:id="533077777">
                                                      <w:marLeft w:val="0"/>
                                                      <w:marRight w:val="0"/>
                                                      <w:marTop w:val="0"/>
                                                      <w:marBottom w:val="0"/>
                                                      <w:divBdr>
                                                        <w:top w:val="none" w:sz="0" w:space="0" w:color="auto"/>
                                                        <w:left w:val="none" w:sz="0" w:space="0" w:color="auto"/>
                                                        <w:bottom w:val="none" w:sz="0" w:space="0" w:color="auto"/>
                                                        <w:right w:val="none" w:sz="0" w:space="0" w:color="auto"/>
                                                      </w:divBdr>
                                                      <w:divsChild>
                                                        <w:div w:id="1690984122">
                                                          <w:marLeft w:val="0"/>
                                                          <w:marRight w:val="0"/>
                                                          <w:marTop w:val="0"/>
                                                          <w:marBottom w:val="0"/>
                                                          <w:divBdr>
                                                            <w:top w:val="none" w:sz="0" w:space="0" w:color="auto"/>
                                                            <w:left w:val="none" w:sz="0" w:space="0" w:color="auto"/>
                                                            <w:bottom w:val="none" w:sz="0" w:space="0" w:color="auto"/>
                                                            <w:right w:val="none" w:sz="0" w:space="0" w:color="auto"/>
                                                          </w:divBdr>
                                                          <w:divsChild>
                                                            <w:div w:id="88980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6657219">
      <w:bodyDiv w:val="1"/>
      <w:marLeft w:val="0"/>
      <w:marRight w:val="0"/>
      <w:marTop w:val="0"/>
      <w:marBottom w:val="0"/>
      <w:divBdr>
        <w:top w:val="none" w:sz="0" w:space="0" w:color="auto"/>
        <w:left w:val="none" w:sz="0" w:space="0" w:color="auto"/>
        <w:bottom w:val="none" w:sz="0" w:space="0" w:color="auto"/>
        <w:right w:val="none" w:sz="0" w:space="0" w:color="auto"/>
      </w:divBdr>
    </w:div>
    <w:div w:id="484900973">
      <w:bodyDiv w:val="1"/>
      <w:marLeft w:val="0"/>
      <w:marRight w:val="0"/>
      <w:marTop w:val="0"/>
      <w:marBottom w:val="0"/>
      <w:divBdr>
        <w:top w:val="none" w:sz="0" w:space="0" w:color="auto"/>
        <w:left w:val="none" w:sz="0" w:space="0" w:color="auto"/>
        <w:bottom w:val="none" w:sz="0" w:space="0" w:color="auto"/>
        <w:right w:val="none" w:sz="0" w:space="0" w:color="auto"/>
      </w:divBdr>
      <w:divsChild>
        <w:div w:id="1202547136">
          <w:marLeft w:val="0"/>
          <w:marRight w:val="0"/>
          <w:marTop w:val="0"/>
          <w:marBottom w:val="0"/>
          <w:divBdr>
            <w:top w:val="none" w:sz="0" w:space="0" w:color="auto"/>
            <w:left w:val="none" w:sz="0" w:space="0" w:color="auto"/>
            <w:bottom w:val="none" w:sz="0" w:space="0" w:color="auto"/>
            <w:right w:val="none" w:sz="0" w:space="0" w:color="auto"/>
          </w:divBdr>
        </w:div>
      </w:divsChild>
    </w:div>
    <w:div w:id="591746035">
      <w:bodyDiv w:val="1"/>
      <w:marLeft w:val="0"/>
      <w:marRight w:val="0"/>
      <w:marTop w:val="0"/>
      <w:marBottom w:val="0"/>
      <w:divBdr>
        <w:top w:val="none" w:sz="0" w:space="0" w:color="auto"/>
        <w:left w:val="none" w:sz="0" w:space="0" w:color="auto"/>
        <w:bottom w:val="none" w:sz="0" w:space="0" w:color="auto"/>
        <w:right w:val="none" w:sz="0" w:space="0" w:color="auto"/>
      </w:divBdr>
    </w:div>
    <w:div w:id="665085476">
      <w:bodyDiv w:val="1"/>
      <w:marLeft w:val="0"/>
      <w:marRight w:val="0"/>
      <w:marTop w:val="0"/>
      <w:marBottom w:val="0"/>
      <w:divBdr>
        <w:top w:val="none" w:sz="0" w:space="0" w:color="auto"/>
        <w:left w:val="none" w:sz="0" w:space="0" w:color="auto"/>
        <w:bottom w:val="none" w:sz="0" w:space="0" w:color="auto"/>
        <w:right w:val="none" w:sz="0" w:space="0" w:color="auto"/>
      </w:divBdr>
      <w:divsChild>
        <w:div w:id="291714166">
          <w:marLeft w:val="0"/>
          <w:marRight w:val="0"/>
          <w:marTop w:val="0"/>
          <w:marBottom w:val="0"/>
          <w:divBdr>
            <w:top w:val="none" w:sz="0" w:space="0" w:color="auto"/>
            <w:left w:val="none" w:sz="0" w:space="0" w:color="auto"/>
            <w:bottom w:val="none" w:sz="0" w:space="0" w:color="auto"/>
            <w:right w:val="none" w:sz="0" w:space="0" w:color="auto"/>
          </w:divBdr>
          <w:divsChild>
            <w:div w:id="1923641482">
              <w:marLeft w:val="0"/>
              <w:marRight w:val="0"/>
              <w:marTop w:val="0"/>
              <w:marBottom w:val="0"/>
              <w:divBdr>
                <w:top w:val="none" w:sz="0" w:space="0" w:color="auto"/>
                <w:left w:val="none" w:sz="0" w:space="0" w:color="auto"/>
                <w:bottom w:val="none" w:sz="0" w:space="0" w:color="auto"/>
                <w:right w:val="none" w:sz="0" w:space="0" w:color="auto"/>
              </w:divBdr>
              <w:divsChild>
                <w:div w:id="1028719916">
                  <w:marLeft w:val="0"/>
                  <w:marRight w:val="0"/>
                  <w:marTop w:val="0"/>
                  <w:marBottom w:val="0"/>
                  <w:divBdr>
                    <w:top w:val="none" w:sz="0" w:space="0" w:color="auto"/>
                    <w:left w:val="none" w:sz="0" w:space="0" w:color="auto"/>
                    <w:bottom w:val="none" w:sz="0" w:space="0" w:color="auto"/>
                    <w:right w:val="none" w:sz="0" w:space="0" w:color="auto"/>
                  </w:divBdr>
                  <w:divsChild>
                    <w:div w:id="1242062222">
                      <w:marLeft w:val="0"/>
                      <w:marRight w:val="0"/>
                      <w:marTop w:val="0"/>
                      <w:marBottom w:val="0"/>
                      <w:divBdr>
                        <w:top w:val="none" w:sz="0" w:space="0" w:color="auto"/>
                        <w:left w:val="none" w:sz="0" w:space="0" w:color="auto"/>
                        <w:bottom w:val="none" w:sz="0" w:space="0" w:color="auto"/>
                        <w:right w:val="none" w:sz="0" w:space="0" w:color="auto"/>
                      </w:divBdr>
                      <w:divsChild>
                        <w:div w:id="1157762454">
                          <w:marLeft w:val="0"/>
                          <w:marRight w:val="0"/>
                          <w:marTop w:val="0"/>
                          <w:marBottom w:val="0"/>
                          <w:divBdr>
                            <w:top w:val="none" w:sz="0" w:space="0" w:color="auto"/>
                            <w:left w:val="none" w:sz="0" w:space="0" w:color="auto"/>
                            <w:bottom w:val="none" w:sz="0" w:space="0" w:color="auto"/>
                            <w:right w:val="none" w:sz="0" w:space="0" w:color="auto"/>
                          </w:divBdr>
                          <w:divsChild>
                            <w:div w:id="976371254">
                              <w:marLeft w:val="0"/>
                              <w:marRight w:val="0"/>
                              <w:marTop w:val="0"/>
                              <w:marBottom w:val="0"/>
                              <w:divBdr>
                                <w:top w:val="none" w:sz="0" w:space="0" w:color="auto"/>
                                <w:left w:val="none" w:sz="0" w:space="0" w:color="auto"/>
                                <w:bottom w:val="none" w:sz="0" w:space="0" w:color="auto"/>
                                <w:right w:val="none" w:sz="0" w:space="0" w:color="auto"/>
                              </w:divBdr>
                              <w:divsChild>
                                <w:div w:id="222449854">
                                  <w:marLeft w:val="0"/>
                                  <w:marRight w:val="0"/>
                                  <w:marTop w:val="0"/>
                                  <w:marBottom w:val="0"/>
                                  <w:divBdr>
                                    <w:top w:val="none" w:sz="0" w:space="0" w:color="auto"/>
                                    <w:left w:val="none" w:sz="0" w:space="0" w:color="auto"/>
                                    <w:bottom w:val="none" w:sz="0" w:space="0" w:color="auto"/>
                                    <w:right w:val="none" w:sz="0" w:space="0" w:color="auto"/>
                                  </w:divBdr>
                                  <w:divsChild>
                                    <w:div w:id="419447436">
                                      <w:marLeft w:val="0"/>
                                      <w:marRight w:val="0"/>
                                      <w:marTop w:val="0"/>
                                      <w:marBottom w:val="0"/>
                                      <w:divBdr>
                                        <w:top w:val="none" w:sz="0" w:space="0" w:color="auto"/>
                                        <w:left w:val="none" w:sz="0" w:space="0" w:color="auto"/>
                                        <w:bottom w:val="none" w:sz="0" w:space="0" w:color="auto"/>
                                        <w:right w:val="none" w:sz="0" w:space="0" w:color="auto"/>
                                      </w:divBdr>
                                      <w:divsChild>
                                        <w:div w:id="1934850027">
                                          <w:marLeft w:val="0"/>
                                          <w:marRight w:val="0"/>
                                          <w:marTop w:val="0"/>
                                          <w:marBottom w:val="0"/>
                                          <w:divBdr>
                                            <w:top w:val="none" w:sz="0" w:space="0" w:color="auto"/>
                                            <w:left w:val="none" w:sz="0" w:space="0" w:color="auto"/>
                                            <w:bottom w:val="none" w:sz="0" w:space="0" w:color="auto"/>
                                            <w:right w:val="none" w:sz="0" w:space="0" w:color="auto"/>
                                          </w:divBdr>
                                          <w:divsChild>
                                            <w:div w:id="70576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6585198">
      <w:bodyDiv w:val="1"/>
      <w:marLeft w:val="0"/>
      <w:marRight w:val="0"/>
      <w:marTop w:val="0"/>
      <w:marBottom w:val="0"/>
      <w:divBdr>
        <w:top w:val="none" w:sz="0" w:space="0" w:color="auto"/>
        <w:left w:val="none" w:sz="0" w:space="0" w:color="auto"/>
        <w:bottom w:val="none" w:sz="0" w:space="0" w:color="auto"/>
        <w:right w:val="none" w:sz="0" w:space="0" w:color="auto"/>
      </w:divBdr>
    </w:div>
    <w:div w:id="718826968">
      <w:bodyDiv w:val="1"/>
      <w:marLeft w:val="0"/>
      <w:marRight w:val="0"/>
      <w:marTop w:val="0"/>
      <w:marBottom w:val="0"/>
      <w:divBdr>
        <w:top w:val="none" w:sz="0" w:space="0" w:color="auto"/>
        <w:left w:val="none" w:sz="0" w:space="0" w:color="auto"/>
        <w:bottom w:val="none" w:sz="0" w:space="0" w:color="auto"/>
        <w:right w:val="none" w:sz="0" w:space="0" w:color="auto"/>
      </w:divBdr>
      <w:divsChild>
        <w:div w:id="395400866">
          <w:marLeft w:val="0"/>
          <w:marRight w:val="0"/>
          <w:marTop w:val="0"/>
          <w:marBottom w:val="0"/>
          <w:divBdr>
            <w:top w:val="none" w:sz="0" w:space="0" w:color="auto"/>
            <w:left w:val="none" w:sz="0" w:space="0" w:color="auto"/>
            <w:bottom w:val="none" w:sz="0" w:space="0" w:color="auto"/>
            <w:right w:val="none" w:sz="0" w:space="0" w:color="auto"/>
          </w:divBdr>
          <w:divsChild>
            <w:div w:id="1689597342">
              <w:marLeft w:val="0"/>
              <w:marRight w:val="0"/>
              <w:marTop w:val="0"/>
              <w:marBottom w:val="0"/>
              <w:divBdr>
                <w:top w:val="none" w:sz="0" w:space="0" w:color="auto"/>
                <w:left w:val="none" w:sz="0" w:space="0" w:color="auto"/>
                <w:bottom w:val="none" w:sz="0" w:space="0" w:color="auto"/>
                <w:right w:val="none" w:sz="0" w:space="0" w:color="auto"/>
              </w:divBdr>
              <w:divsChild>
                <w:div w:id="482280324">
                  <w:marLeft w:val="0"/>
                  <w:marRight w:val="0"/>
                  <w:marTop w:val="0"/>
                  <w:marBottom w:val="300"/>
                  <w:divBdr>
                    <w:top w:val="none" w:sz="0" w:space="0" w:color="auto"/>
                    <w:left w:val="none" w:sz="0" w:space="0" w:color="auto"/>
                    <w:bottom w:val="none" w:sz="0" w:space="0" w:color="auto"/>
                    <w:right w:val="none" w:sz="0" w:space="0" w:color="auto"/>
                  </w:divBdr>
                  <w:divsChild>
                    <w:div w:id="543642123">
                      <w:marLeft w:val="0"/>
                      <w:marRight w:val="0"/>
                      <w:marTop w:val="0"/>
                      <w:marBottom w:val="0"/>
                      <w:divBdr>
                        <w:top w:val="none" w:sz="0" w:space="0" w:color="auto"/>
                        <w:left w:val="none" w:sz="0" w:space="0" w:color="auto"/>
                        <w:bottom w:val="none" w:sz="0" w:space="0" w:color="auto"/>
                        <w:right w:val="none" w:sz="0" w:space="0" w:color="auto"/>
                      </w:divBdr>
                      <w:divsChild>
                        <w:div w:id="3417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46269">
      <w:bodyDiv w:val="1"/>
      <w:marLeft w:val="0"/>
      <w:marRight w:val="0"/>
      <w:marTop w:val="0"/>
      <w:marBottom w:val="0"/>
      <w:divBdr>
        <w:top w:val="none" w:sz="0" w:space="0" w:color="auto"/>
        <w:left w:val="none" w:sz="0" w:space="0" w:color="auto"/>
        <w:bottom w:val="none" w:sz="0" w:space="0" w:color="auto"/>
        <w:right w:val="none" w:sz="0" w:space="0" w:color="auto"/>
      </w:divBdr>
      <w:divsChild>
        <w:div w:id="1377199556">
          <w:marLeft w:val="0"/>
          <w:marRight w:val="0"/>
          <w:marTop w:val="0"/>
          <w:marBottom w:val="0"/>
          <w:divBdr>
            <w:top w:val="none" w:sz="0" w:space="0" w:color="auto"/>
            <w:left w:val="none" w:sz="0" w:space="0" w:color="auto"/>
            <w:bottom w:val="none" w:sz="0" w:space="0" w:color="auto"/>
            <w:right w:val="none" w:sz="0" w:space="0" w:color="auto"/>
          </w:divBdr>
          <w:divsChild>
            <w:div w:id="1876232758">
              <w:marLeft w:val="0"/>
              <w:marRight w:val="0"/>
              <w:marTop w:val="0"/>
              <w:marBottom w:val="0"/>
              <w:divBdr>
                <w:top w:val="none" w:sz="0" w:space="0" w:color="auto"/>
                <w:left w:val="none" w:sz="0" w:space="0" w:color="auto"/>
                <w:bottom w:val="none" w:sz="0" w:space="0" w:color="auto"/>
                <w:right w:val="none" w:sz="0" w:space="0" w:color="auto"/>
              </w:divBdr>
              <w:divsChild>
                <w:div w:id="829636572">
                  <w:marLeft w:val="0"/>
                  <w:marRight w:val="0"/>
                  <w:marTop w:val="0"/>
                  <w:marBottom w:val="0"/>
                  <w:divBdr>
                    <w:top w:val="none" w:sz="0" w:space="0" w:color="auto"/>
                    <w:left w:val="none" w:sz="0" w:space="0" w:color="auto"/>
                    <w:bottom w:val="none" w:sz="0" w:space="0" w:color="auto"/>
                    <w:right w:val="none" w:sz="0" w:space="0" w:color="auto"/>
                  </w:divBdr>
                  <w:divsChild>
                    <w:div w:id="1935480147">
                      <w:marLeft w:val="0"/>
                      <w:marRight w:val="0"/>
                      <w:marTop w:val="0"/>
                      <w:marBottom w:val="0"/>
                      <w:divBdr>
                        <w:top w:val="none" w:sz="0" w:space="0" w:color="auto"/>
                        <w:left w:val="none" w:sz="0" w:space="0" w:color="auto"/>
                        <w:bottom w:val="none" w:sz="0" w:space="0" w:color="auto"/>
                        <w:right w:val="none" w:sz="0" w:space="0" w:color="auto"/>
                      </w:divBdr>
                      <w:divsChild>
                        <w:div w:id="1282491516">
                          <w:marLeft w:val="0"/>
                          <w:marRight w:val="0"/>
                          <w:marTop w:val="0"/>
                          <w:marBottom w:val="0"/>
                          <w:divBdr>
                            <w:top w:val="none" w:sz="0" w:space="0" w:color="auto"/>
                            <w:left w:val="none" w:sz="0" w:space="0" w:color="auto"/>
                            <w:bottom w:val="none" w:sz="0" w:space="0" w:color="auto"/>
                            <w:right w:val="none" w:sz="0" w:space="0" w:color="auto"/>
                          </w:divBdr>
                          <w:divsChild>
                            <w:div w:id="1125586584">
                              <w:marLeft w:val="0"/>
                              <w:marRight w:val="0"/>
                              <w:marTop w:val="0"/>
                              <w:marBottom w:val="0"/>
                              <w:divBdr>
                                <w:top w:val="none" w:sz="0" w:space="0" w:color="auto"/>
                                <w:left w:val="none" w:sz="0" w:space="0" w:color="auto"/>
                                <w:bottom w:val="none" w:sz="0" w:space="0" w:color="auto"/>
                                <w:right w:val="none" w:sz="0" w:space="0" w:color="auto"/>
                              </w:divBdr>
                              <w:divsChild>
                                <w:div w:id="873421452">
                                  <w:marLeft w:val="0"/>
                                  <w:marRight w:val="0"/>
                                  <w:marTop w:val="0"/>
                                  <w:marBottom w:val="0"/>
                                  <w:divBdr>
                                    <w:top w:val="none" w:sz="0" w:space="0" w:color="auto"/>
                                    <w:left w:val="none" w:sz="0" w:space="0" w:color="auto"/>
                                    <w:bottom w:val="none" w:sz="0" w:space="0" w:color="auto"/>
                                    <w:right w:val="none" w:sz="0" w:space="0" w:color="auto"/>
                                  </w:divBdr>
                                  <w:divsChild>
                                    <w:div w:id="795024100">
                                      <w:marLeft w:val="0"/>
                                      <w:marRight w:val="0"/>
                                      <w:marTop w:val="0"/>
                                      <w:marBottom w:val="0"/>
                                      <w:divBdr>
                                        <w:top w:val="none" w:sz="0" w:space="0" w:color="auto"/>
                                        <w:left w:val="none" w:sz="0" w:space="0" w:color="auto"/>
                                        <w:bottom w:val="none" w:sz="0" w:space="0" w:color="auto"/>
                                        <w:right w:val="none" w:sz="0" w:space="0" w:color="auto"/>
                                      </w:divBdr>
                                      <w:divsChild>
                                        <w:div w:id="1334991139">
                                          <w:marLeft w:val="0"/>
                                          <w:marRight w:val="0"/>
                                          <w:marTop w:val="0"/>
                                          <w:marBottom w:val="0"/>
                                          <w:divBdr>
                                            <w:top w:val="none" w:sz="0" w:space="0" w:color="auto"/>
                                            <w:left w:val="none" w:sz="0" w:space="0" w:color="auto"/>
                                            <w:bottom w:val="none" w:sz="0" w:space="0" w:color="auto"/>
                                            <w:right w:val="none" w:sz="0" w:space="0" w:color="auto"/>
                                          </w:divBdr>
                                          <w:divsChild>
                                            <w:div w:id="2045131652">
                                              <w:marLeft w:val="0"/>
                                              <w:marRight w:val="0"/>
                                              <w:marTop w:val="0"/>
                                              <w:marBottom w:val="0"/>
                                              <w:divBdr>
                                                <w:top w:val="none" w:sz="0" w:space="0" w:color="auto"/>
                                                <w:left w:val="none" w:sz="0" w:space="0" w:color="auto"/>
                                                <w:bottom w:val="none" w:sz="0" w:space="0" w:color="auto"/>
                                                <w:right w:val="none" w:sz="0" w:space="0" w:color="auto"/>
                                              </w:divBdr>
                                              <w:divsChild>
                                                <w:div w:id="1675037556">
                                                  <w:marLeft w:val="0"/>
                                                  <w:marRight w:val="0"/>
                                                  <w:marTop w:val="0"/>
                                                  <w:marBottom w:val="0"/>
                                                  <w:divBdr>
                                                    <w:top w:val="none" w:sz="0" w:space="0" w:color="auto"/>
                                                    <w:left w:val="none" w:sz="0" w:space="0" w:color="auto"/>
                                                    <w:bottom w:val="none" w:sz="0" w:space="0" w:color="auto"/>
                                                    <w:right w:val="none" w:sz="0" w:space="0" w:color="auto"/>
                                                  </w:divBdr>
                                                  <w:divsChild>
                                                    <w:div w:id="1876578619">
                                                      <w:marLeft w:val="0"/>
                                                      <w:marRight w:val="0"/>
                                                      <w:marTop w:val="0"/>
                                                      <w:marBottom w:val="0"/>
                                                      <w:divBdr>
                                                        <w:top w:val="none" w:sz="0" w:space="0" w:color="auto"/>
                                                        <w:left w:val="none" w:sz="0" w:space="0" w:color="auto"/>
                                                        <w:bottom w:val="none" w:sz="0" w:space="0" w:color="auto"/>
                                                        <w:right w:val="none" w:sz="0" w:space="0" w:color="auto"/>
                                                      </w:divBdr>
                                                      <w:divsChild>
                                                        <w:div w:id="1360618973">
                                                          <w:marLeft w:val="0"/>
                                                          <w:marRight w:val="0"/>
                                                          <w:marTop w:val="0"/>
                                                          <w:marBottom w:val="0"/>
                                                          <w:divBdr>
                                                            <w:top w:val="none" w:sz="0" w:space="0" w:color="auto"/>
                                                            <w:left w:val="none" w:sz="0" w:space="0" w:color="auto"/>
                                                            <w:bottom w:val="none" w:sz="0" w:space="0" w:color="auto"/>
                                                            <w:right w:val="none" w:sz="0" w:space="0" w:color="auto"/>
                                                          </w:divBdr>
                                                          <w:divsChild>
                                                            <w:div w:id="116755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2717583">
      <w:bodyDiv w:val="1"/>
      <w:marLeft w:val="0"/>
      <w:marRight w:val="0"/>
      <w:marTop w:val="0"/>
      <w:marBottom w:val="0"/>
      <w:divBdr>
        <w:top w:val="none" w:sz="0" w:space="0" w:color="auto"/>
        <w:left w:val="none" w:sz="0" w:space="0" w:color="auto"/>
        <w:bottom w:val="none" w:sz="0" w:space="0" w:color="auto"/>
        <w:right w:val="none" w:sz="0" w:space="0" w:color="auto"/>
      </w:divBdr>
      <w:divsChild>
        <w:div w:id="360980427">
          <w:marLeft w:val="0"/>
          <w:marRight w:val="0"/>
          <w:marTop w:val="0"/>
          <w:marBottom w:val="0"/>
          <w:divBdr>
            <w:top w:val="none" w:sz="0" w:space="0" w:color="auto"/>
            <w:left w:val="none" w:sz="0" w:space="0" w:color="auto"/>
            <w:bottom w:val="none" w:sz="0" w:space="0" w:color="auto"/>
            <w:right w:val="none" w:sz="0" w:space="0" w:color="auto"/>
          </w:divBdr>
          <w:divsChild>
            <w:div w:id="1771657266">
              <w:marLeft w:val="0"/>
              <w:marRight w:val="0"/>
              <w:marTop w:val="0"/>
              <w:marBottom w:val="0"/>
              <w:divBdr>
                <w:top w:val="none" w:sz="0" w:space="0" w:color="auto"/>
                <w:left w:val="none" w:sz="0" w:space="0" w:color="auto"/>
                <w:bottom w:val="none" w:sz="0" w:space="0" w:color="auto"/>
                <w:right w:val="none" w:sz="0" w:space="0" w:color="auto"/>
              </w:divBdr>
              <w:divsChild>
                <w:div w:id="1027557627">
                  <w:marLeft w:val="0"/>
                  <w:marRight w:val="0"/>
                  <w:marTop w:val="0"/>
                  <w:marBottom w:val="0"/>
                  <w:divBdr>
                    <w:top w:val="none" w:sz="0" w:space="0" w:color="auto"/>
                    <w:left w:val="none" w:sz="0" w:space="0" w:color="auto"/>
                    <w:bottom w:val="none" w:sz="0" w:space="0" w:color="auto"/>
                    <w:right w:val="none" w:sz="0" w:space="0" w:color="auto"/>
                  </w:divBdr>
                  <w:divsChild>
                    <w:div w:id="1047686894">
                      <w:marLeft w:val="0"/>
                      <w:marRight w:val="0"/>
                      <w:marTop w:val="0"/>
                      <w:marBottom w:val="0"/>
                      <w:divBdr>
                        <w:top w:val="none" w:sz="0" w:space="0" w:color="auto"/>
                        <w:left w:val="none" w:sz="0" w:space="0" w:color="auto"/>
                        <w:bottom w:val="none" w:sz="0" w:space="0" w:color="auto"/>
                        <w:right w:val="none" w:sz="0" w:space="0" w:color="auto"/>
                      </w:divBdr>
                      <w:divsChild>
                        <w:div w:id="1518540887">
                          <w:marLeft w:val="0"/>
                          <w:marRight w:val="0"/>
                          <w:marTop w:val="0"/>
                          <w:marBottom w:val="0"/>
                          <w:divBdr>
                            <w:top w:val="none" w:sz="0" w:space="0" w:color="auto"/>
                            <w:left w:val="none" w:sz="0" w:space="0" w:color="auto"/>
                            <w:bottom w:val="none" w:sz="0" w:space="0" w:color="auto"/>
                            <w:right w:val="none" w:sz="0" w:space="0" w:color="auto"/>
                          </w:divBdr>
                          <w:divsChild>
                            <w:div w:id="1537503372">
                              <w:marLeft w:val="0"/>
                              <w:marRight w:val="0"/>
                              <w:marTop w:val="0"/>
                              <w:marBottom w:val="0"/>
                              <w:divBdr>
                                <w:top w:val="none" w:sz="0" w:space="0" w:color="auto"/>
                                <w:left w:val="none" w:sz="0" w:space="0" w:color="auto"/>
                                <w:bottom w:val="none" w:sz="0" w:space="0" w:color="auto"/>
                                <w:right w:val="none" w:sz="0" w:space="0" w:color="auto"/>
                              </w:divBdr>
                              <w:divsChild>
                                <w:div w:id="575552705">
                                  <w:marLeft w:val="0"/>
                                  <w:marRight w:val="0"/>
                                  <w:marTop w:val="0"/>
                                  <w:marBottom w:val="0"/>
                                  <w:divBdr>
                                    <w:top w:val="none" w:sz="0" w:space="0" w:color="auto"/>
                                    <w:left w:val="none" w:sz="0" w:space="0" w:color="auto"/>
                                    <w:bottom w:val="none" w:sz="0" w:space="0" w:color="auto"/>
                                    <w:right w:val="none" w:sz="0" w:space="0" w:color="auto"/>
                                  </w:divBdr>
                                  <w:divsChild>
                                    <w:div w:id="654798863">
                                      <w:marLeft w:val="0"/>
                                      <w:marRight w:val="0"/>
                                      <w:marTop w:val="0"/>
                                      <w:marBottom w:val="0"/>
                                      <w:divBdr>
                                        <w:top w:val="none" w:sz="0" w:space="0" w:color="auto"/>
                                        <w:left w:val="none" w:sz="0" w:space="0" w:color="auto"/>
                                        <w:bottom w:val="none" w:sz="0" w:space="0" w:color="auto"/>
                                        <w:right w:val="none" w:sz="0" w:space="0" w:color="auto"/>
                                      </w:divBdr>
                                      <w:divsChild>
                                        <w:div w:id="630404684">
                                          <w:marLeft w:val="0"/>
                                          <w:marRight w:val="0"/>
                                          <w:marTop w:val="0"/>
                                          <w:marBottom w:val="0"/>
                                          <w:divBdr>
                                            <w:top w:val="none" w:sz="0" w:space="0" w:color="auto"/>
                                            <w:left w:val="none" w:sz="0" w:space="0" w:color="auto"/>
                                            <w:bottom w:val="none" w:sz="0" w:space="0" w:color="auto"/>
                                            <w:right w:val="none" w:sz="0" w:space="0" w:color="auto"/>
                                          </w:divBdr>
                                          <w:divsChild>
                                            <w:div w:id="166574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680367">
      <w:bodyDiv w:val="1"/>
      <w:marLeft w:val="0"/>
      <w:marRight w:val="0"/>
      <w:marTop w:val="0"/>
      <w:marBottom w:val="0"/>
      <w:divBdr>
        <w:top w:val="none" w:sz="0" w:space="0" w:color="auto"/>
        <w:left w:val="none" w:sz="0" w:space="0" w:color="auto"/>
        <w:bottom w:val="none" w:sz="0" w:space="0" w:color="auto"/>
        <w:right w:val="none" w:sz="0" w:space="0" w:color="auto"/>
      </w:divBdr>
      <w:divsChild>
        <w:div w:id="2081558437">
          <w:marLeft w:val="0"/>
          <w:marRight w:val="0"/>
          <w:marTop w:val="0"/>
          <w:marBottom w:val="0"/>
          <w:divBdr>
            <w:top w:val="none" w:sz="0" w:space="0" w:color="auto"/>
            <w:left w:val="none" w:sz="0" w:space="0" w:color="auto"/>
            <w:bottom w:val="none" w:sz="0" w:space="0" w:color="auto"/>
            <w:right w:val="none" w:sz="0" w:space="0" w:color="auto"/>
          </w:divBdr>
          <w:divsChild>
            <w:div w:id="187524346">
              <w:marLeft w:val="0"/>
              <w:marRight w:val="0"/>
              <w:marTop w:val="0"/>
              <w:marBottom w:val="0"/>
              <w:divBdr>
                <w:top w:val="none" w:sz="0" w:space="0" w:color="auto"/>
                <w:left w:val="none" w:sz="0" w:space="0" w:color="auto"/>
                <w:bottom w:val="none" w:sz="0" w:space="0" w:color="auto"/>
                <w:right w:val="none" w:sz="0" w:space="0" w:color="auto"/>
              </w:divBdr>
              <w:divsChild>
                <w:div w:id="80444862">
                  <w:marLeft w:val="0"/>
                  <w:marRight w:val="0"/>
                  <w:marTop w:val="0"/>
                  <w:marBottom w:val="0"/>
                  <w:divBdr>
                    <w:top w:val="none" w:sz="0" w:space="0" w:color="auto"/>
                    <w:left w:val="none" w:sz="0" w:space="0" w:color="auto"/>
                    <w:bottom w:val="none" w:sz="0" w:space="0" w:color="auto"/>
                    <w:right w:val="none" w:sz="0" w:space="0" w:color="auto"/>
                  </w:divBdr>
                  <w:divsChild>
                    <w:div w:id="434518767">
                      <w:marLeft w:val="0"/>
                      <w:marRight w:val="0"/>
                      <w:marTop w:val="0"/>
                      <w:marBottom w:val="0"/>
                      <w:divBdr>
                        <w:top w:val="none" w:sz="0" w:space="0" w:color="auto"/>
                        <w:left w:val="none" w:sz="0" w:space="0" w:color="auto"/>
                        <w:bottom w:val="none" w:sz="0" w:space="0" w:color="auto"/>
                        <w:right w:val="none" w:sz="0" w:space="0" w:color="auto"/>
                      </w:divBdr>
                      <w:divsChild>
                        <w:div w:id="1673490347">
                          <w:marLeft w:val="0"/>
                          <w:marRight w:val="0"/>
                          <w:marTop w:val="0"/>
                          <w:marBottom w:val="0"/>
                          <w:divBdr>
                            <w:top w:val="none" w:sz="0" w:space="0" w:color="auto"/>
                            <w:left w:val="none" w:sz="0" w:space="0" w:color="auto"/>
                            <w:bottom w:val="none" w:sz="0" w:space="0" w:color="auto"/>
                            <w:right w:val="none" w:sz="0" w:space="0" w:color="auto"/>
                          </w:divBdr>
                          <w:divsChild>
                            <w:div w:id="1074664859">
                              <w:marLeft w:val="0"/>
                              <w:marRight w:val="0"/>
                              <w:marTop w:val="0"/>
                              <w:marBottom w:val="0"/>
                              <w:divBdr>
                                <w:top w:val="none" w:sz="0" w:space="0" w:color="auto"/>
                                <w:left w:val="none" w:sz="0" w:space="0" w:color="auto"/>
                                <w:bottom w:val="none" w:sz="0" w:space="0" w:color="auto"/>
                                <w:right w:val="none" w:sz="0" w:space="0" w:color="auto"/>
                              </w:divBdr>
                              <w:divsChild>
                                <w:div w:id="1060058224">
                                  <w:marLeft w:val="0"/>
                                  <w:marRight w:val="0"/>
                                  <w:marTop w:val="0"/>
                                  <w:marBottom w:val="0"/>
                                  <w:divBdr>
                                    <w:top w:val="none" w:sz="0" w:space="0" w:color="auto"/>
                                    <w:left w:val="none" w:sz="0" w:space="0" w:color="auto"/>
                                    <w:bottom w:val="none" w:sz="0" w:space="0" w:color="auto"/>
                                    <w:right w:val="none" w:sz="0" w:space="0" w:color="auto"/>
                                  </w:divBdr>
                                  <w:divsChild>
                                    <w:div w:id="346564809">
                                      <w:marLeft w:val="0"/>
                                      <w:marRight w:val="0"/>
                                      <w:marTop w:val="0"/>
                                      <w:marBottom w:val="0"/>
                                      <w:divBdr>
                                        <w:top w:val="none" w:sz="0" w:space="0" w:color="auto"/>
                                        <w:left w:val="none" w:sz="0" w:space="0" w:color="auto"/>
                                        <w:bottom w:val="none" w:sz="0" w:space="0" w:color="auto"/>
                                        <w:right w:val="none" w:sz="0" w:space="0" w:color="auto"/>
                                      </w:divBdr>
                                      <w:divsChild>
                                        <w:div w:id="702556060">
                                          <w:marLeft w:val="0"/>
                                          <w:marRight w:val="0"/>
                                          <w:marTop w:val="0"/>
                                          <w:marBottom w:val="0"/>
                                          <w:divBdr>
                                            <w:top w:val="none" w:sz="0" w:space="0" w:color="auto"/>
                                            <w:left w:val="none" w:sz="0" w:space="0" w:color="auto"/>
                                            <w:bottom w:val="none" w:sz="0" w:space="0" w:color="auto"/>
                                            <w:right w:val="none" w:sz="0" w:space="0" w:color="auto"/>
                                          </w:divBdr>
                                          <w:divsChild>
                                            <w:div w:id="212634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6958434">
      <w:bodyDiv w:val="1"/>
      <w:marLeft w:val="0"/>
      <w:marRight w:val="0"/>
      <w:marTop w:val="0"/>
      <w:marBottom w:val="0"/>
      <w:divBdr>
        <w:top w:val="none" w:sz="0" w:space="0" w:color="auto"/>
        <w:left w:val="none" w:sz="0" w:space="0" w:color="auto"/>
        <w:bottom w:val="none" w:sz="0" w:space="0" w:color="auto"/>
        <w:right w:val="none" w:sz="0" w:space="0" w:color="auto"/>
      </w:divBdr>
    </w:div>
    <w:div w:id="969557727">
      <w:bodyDiv w:val="1"/>
      <w:marLeft w:val="0"/>
      <w:marRight w:val="0"/>
      <w:marTop w:val="0"/>
      <w:marBottom w:val="0"/>
      <w:divBdr>
        <w:top w:val="none" w:sz="0" w:space="0" w:color="auto"/>
        <w:left w:val="none" w:sz="0" w:space="0" w:color="auto"/>
        <w:bottom w:val="none" w:sz="0" w:space="0" w:color="auto"/>
        <w:right w:val="none" w:sz="0" w:space="0" w:color="auto"/>
      </w:divBdr>
    </w:div>
    <w:div w:id="975989811">
      <w:bodyDiv w:val="1"/>
      <w:marLeft w:val="0"/>
      <w:marRight w:val="0"/>
      <w:marTop w:val="0"/>
      <w:marBottom w:val="0"/>
      <w:divBdr>
        <w:top w:val="none" w:sz="0" w:space="0" w:color="auto"/>
        <w:left w:val="none" w:sz="0" w:space="0" w:color="auto"/>
        <w:bottom w:val="none" w:sz="0" w:space="0" w:color="auto"/>
        <w:right w:val="none" w:sz="0" w:space="0" w:color="auto"/>
      </w:divBdr>
      <w:divsChild>
        <w:div w:id="2128574190">
          <w:marLeft w:val="0"/>
          <w:marRight w:val="0"/>
          <w:marTop w:val="0"/>
          <w:marBottom w:val="0"/>
          <w:divBdr>
            <w:top w:val="none" w:sz="0" w:space="0" w:color="auto"/>
            <w:left w:val="none" w:sz="0" w:space="0" w:color="auto"/>
            <w:bottom w:val="none" w:sz="0" w:space="0" w:color="auto"/>
            <w:right w:val="none" w:sz="0" w:space="0" w:color="auto"/>
          </w:divBdr>
          <w:divsChild>
            <w:div w:id="1358893417">
              <w:marLeft w:val="0"/>
              <w:marRight w:val="0"/>
              <w:marTop w:val="0"/>
              <w:marBottom w:val="0"/>
              <w:divBdr>
                <w:top w:val="none" w:sz="0" w:space="0" w:color="auto"/>
                <w:left w:val="none" w:sz="0" w:space="0" w:color="auto"/>
                <w:bottom w:val="none" w:sz="0" w:space="0" w:color="auto"/>
                <w:right w:val="none" w:sz="0" w:space="0" w:color="auto"/>
              </w:divBdr>
              <w:divsChild>
                <w:div w:id="307441059">
                  <w:marLeft w:val="0"/>
                  <w:marRight w:val="0"/>
                  <w:marTop w:val="0"/>
                  <w:marBottom w:val="0"/>
                  <w:divBdr>
                    <w:top w:val="none" w:sz="0" w:space="0" w:color="auto"/>
                    <w:left w:val="none" w:sz="0" w:space="0" w:color="auto"/>
                    <w:bottom w:val="none" w:sz="0" w:space="0" w:color="auto"/>
                    <w:right w:val="none" w:sz="0" w:space="0" w:color="auto"/>
                  </w:divBdr>
                  <w:divsChild>
                    <w:div w:id="983046316">
                      <w:marLeft w:val="0"/>
                      <w:marRight w:val="0"/>
                      <w:marTop w:val="0"/>
                      <w:marBottom w:val="0"/>
                      <w:divBdr>
                        <w:top w:val="none" w:sz="0" w:space="0" w:color="auto"/>
                        <w:left w:val="none" w:sz="0" w:space="0" w:color="auto"/>
                        <w:bottom w:val="none" w:sz="0" w:space="0" w:color="auto"/>
                        <w:right w:val="none" w:sz="0" w:space="0" w:color="auto"/>
                      </w:divBdr>
                      <w:divsChild>
                        <w:div w:id="1283800440">
                          <w:marLeft w:val="0"/>
                          <w:marRight w:val="0"/>
                          <w:marTop w:val="0"/>
                          <w:marBottom w:val="0"/>
                          <w:divBdr>
                            <w:top w:val="none" w:sz="0" w:space="0" w:color="auto"/>
                            <w:left w:val="none" w:sz="0" w:space="0" w:color="auto"/>
                            <w:bottom w:val="none" w:sz="0" w:space="0" w:color="auto"/>
                            <w:right w:val="none" w:sz="0" w:space="0" w:color="auto"/>
                          </w:divBdr>
                          <w:divsChild>
                            <w:div w:id="565340946">
                              <w:marLeft w:val="0"/>
                              <w:marRight w:val="0"/>
                              <w:marTop w:val="0"/>
                              <w:marBottom w:val="0"/>
                              <w:divBdr>
                                <w:top w:val="none" w:sz="0" w:space="0" w:color="auto"/>
                                <w:left w:val="none" w:sz="0" w:space="0" w:color="auto"/>
                                <w:bottom w:val="none" w:sz="0" w:space="0" w:color="auto"/>
                                <w:right w:val="none" w:sz="0" w:space="0" w:color="auto"/>
                              </w:divBdr>
                              <w:divsChild>
                                <w:div w:id="981538742">
                                  <w:marLeft w:val="0"/>
                                  <w:marRight w:val="0"/>
                                  <w:marTop w:val="0"/>
                                  <w:marBottom w:val="0"/>
                                  <w:divBdr>
                                    <w:top w:val="none" w:sz="0" w:space="0" w:color="auto"/>
                                    <w:left w:val="none" w:sz="0" w:space="0" w:color="auto"/>
                                    <w:bottom w:val="none" w:sz="0" w:space="0" w:color="auto"/>
                                    <w:right w:val="none" w:sz="0" w:space="0" w:color="auto"/>
                                  </w:divBdr>
                                  <w:divsChild>
                                    <w:div w:id="270207028">
                                      <w:marLeft w:val="0"/>
                                      <w:marRight w:val="0"/>
                                      <w:marTop w:val="0"/>
                                      <w:marBottom w:val="0"/>
                                      <w:divBdr>
                                        <w:top w:val="none" w:sz="0" w:space="0" w:color="auto"/>
                                        <w:left w:val="none" w:sz="0" w:space="0" w:color="auto"/>
                                        <w:bottom w:val="none" w:sz="0" w:space="0" w:color="auto"/>
                                        <w:right w:val="none" w:sz="0" w:space="0" w:color="auto"/>
                                      </w:divBdr>
                                      <w:divsChild>
                                        <w:div w:id="1775901595">
                                          <w:marLeft w:val="0"/>
                                          <w:marRight w:val="0"/>
                                          <w:marTop w:val="0"/>
                                          <w:marBottom w:val="0"/>
                                          <w:divBdr>
                                            <w:top w:val="none" w:sz="0" w:space="0" w:color="auto"/>
                                            <w:left w:val="none" w:sz="0" w:space="0" w:color="auto"/>
                                            <w:bottom w:val="none" w:sz="0" w:space="0" w:color="auto"/>
                                            <w:right w:val="none" w:sz="0" w:space="0" w:color="auto"/>
                                          </w:divBdr>
                                          <w:divsChild>
                                            <w:div w:id="175696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8868106">
      <w:bodyDiv w:val="1"/>
      <w:marLeft w:val="0"/>
      <w:marRight w:val="0"/>
      <w:marTop w:val="0"/>
      <w:marBottom w:val="0"/>
      <w:divBdr>
        <w:top w:val="none" w:sz="0" w:space="0" w:color="auto"/>
        <w:left w:val="none" w:sz="0" w:space="0" w:color="auto"/>
        <w:bottom w:val="none" w:sz="0" w:space="0" w:color="auto"/>
        <w:right w:val="none" w:sz="0" w:space="0" w:color="auto"/>
      </w:divBdr>
    </w:div>
    <w:div w:id="1061901398">
      <w:bodyDiv w:val="1"/>
      <w:marLeft w:val="0"/>
      <w:marRight w:val="0"/>
      <w:marTop w:val="0"/>
      <w:marBottom w:val="0"/>
      <w:divBdr>
        <w:top w:val="none" w:sz="0" w:space="0" w:color="auto"/>
        <w:left w:val="none" w:sz="0" w:space="0" w:color="auto"/>
        <w:bottom w:val="none" w:sz="0" w:space="0" w:color="auto"/>
        <w:right w:val="none" w:sz="0" w:space="0" w:color="auto"/>
      </w:divBdr>
    </w:div>
    <w:div w:id="1075468399">
      <w:bodyDiv w:val="1"/>
      <w:marLeft w:val="0"/>
      <w:marRight w:val="0"/>
      <w:marTop w:val="0"/>
      <w:marBottom w:val="0"/>
      <w:divBdr>
        <w:top w:val="none" w:sz="0" w:space="0" w:color="auto"/>
        <w:left w:val="none" w:sz="0" w:space="0" w:color="auto"/>
        <w:bottom w:val="none" w:sz="0" w:space="0" w:color="auto"/>
        <w:right w:val="none" w:sz="0" w:space="0" w:color="auto"/>
      </w:divBdr>
      <w:divsChild>
        <w:div w:id="904993532">
          <w:marLeft w:val="0"/>
          <w:marRight w:val="0"/>
          <w:marTop w:val="0"/>
          <w:marBottom w:val="0"/>
          <w:divBdr>
            <w:top w:val="none" w:sz="0" w:space="0" w:color="auto"/>
            <w:left w:val="none" w:sz="0" w:space="0" w:color="auto"/>
            <w:bottom w:val="none" w:sz="0" w:space="0" w:color="auto"/>
            <w:right w:val="none" w:sz="0" w:space="0" w:color="auto"/>
          </w:divBdr>
        </w:div>
      </w:divsChild>
    </w:div>
    <w:div w:id="1093939749">
      <w:bodyDiv w:val="1"/>
      <w:marLeft w:val="0"/>
      <w:marRight w:val="0"/>
      <w:marTop w:val="0"/>
      <w:marBottom w:val="0"/>
      <w:divBdr>
        <w:top w:val="none" w:sz="0" w:space="0" w:color="auto"/>
        <w:left w:val="none" w:sz="0" w:space="0" w:color="auto"/>
        <w:bottom w:val="none" w:sz="0" w:space="0" w:color="auto"/>
        <w:right w:val="none" w:sz="0" w:space="0" w:color="auto"/>
      </w:divBdr>
      <w:divsChild>
        <w:div w:id="183598674">
          <w:marLeft w:val="0"/>
          <w:marRight w:val="0"/>
          <w:marTop w:val="0"/>
          <w:marBottom w:val="0"/>
          <w:divBdr>
            <w:top w:val="none" w:sz="0" w:space="0" w:color="auto"/>
            <w:left w:val="none" w:sz="0" w:space="0" w:color="auto"/>
            <w:bottom w:val="none" w:sz="0" w:space="0" w:color="auto"/>
            <w:right w:val="none" w:sz="0" w:space="0" w:color="auto"/>
          </w:divBdr>
          <w:divsChild>
            <w:div w:id="1798720985">
              <w:marLeft w:val="0"/>
              <w:marRight w:val="0"/>
              <w:marTop w:val="0"/>
              <w:marBottom w:val="0"/>
              <w:divBdr>
                <w:top w:val="none" w:sz="0" w:space="0" w:color="auto"/>
                <w:left w:val="none" w:sz="0" w:space="0" w:color="auto"/>
                <w:bottom w:val="none" w:sz="0" w:space="0" w:color="auto"/>
                <w:right w:val="none" w:sz="0" w:space="0" w:color="auto"/>
              </w:divBdr>
              <w:divsChild>
                <w:div w:id="726535929">
                  <w:marLeft w:val="0"/>
                  <w:marRight w:val="0"/>
                  <w:marTop w:val="0"/>
                  <w:marBottom w:val="0"/>
                  <w:divBdr>
                    <w:top w:val="none" w:sz="0" w:space="0" w:color="auto"/>
                    <w:left w:val="none" w:sz="0" w:space="0" w:color="auto"/>
                    <w:bottom w:val="none" w:sz="0" w:space="0" w:color="auto"/>
                    <w:right w:val="none" w:sz="0" w:space="0" w:color="auto"/>
                  </w:divBdr>
                  <w:divsChild>
                    <w:div w:id="1876775132">
                      <w:marLeft w:val="0"/>
                      <w:marRight w:val="0"/>
                      <w:marTop w:val="0"/>
                      <w:marBottom w:val="0"/>
                      <w:divBdr>
                        <w:top w:val="none" w:sz="0" w:space="0" w:color="auto"/>
                        <w:left w:val="none" w:sz="0" w:space="0" w:color="auto"/>
                        <w:bottom w:val="none" w:sz="0" w:space="0" w:color="auto"/>
                        <w:right w:val="none" w:sz="0" w:space="0" w:color="auto"/>
                      </w:divBdr>
                      <w:divsChild>
                        <w:div w:id="1492984811">
                          <w:marLeft w:val="0"/>
                          <w:marRight w:val="0"/>
                          <w:marTop w:val="0"/>
                          <w:marBottom w:val="0"/>
                          <w:divBdr>
                            <w:top w:val="none" w:sz="0" w:space="0" w:color="auto"/>
                            <w:left w:val="none" w:sz="0" w:space="0" w:color="auto"/>
                            <w:bottom w:val="none" w:sz="0" w:space="0" w:color="auto"/>
                            <w:right w:val="none" w:sz="0" w:space="0" w:color="auto"/>
                          </w:divBdr>
                          <w:divsChild>
                            <w:div w:id="879246166">
                              <w:marLeft w:val="0"/>
                              <w:marRight w:val="0"/>
                              <w:marTop w:val="0"/>
                              <w:marBottom w:val="0"/>
                              <w:divBdr>
                                <w:top w:val="none" w:sz="0" w:space="0" w:color="auto"/>
                                <w:left w:val="none" w:sz="0" w:space="0" w:color="auto"/>
                                <w:bottom w:val="none" w:sz="0" w:space="0" w:color="auto"/>
                                <w:right w:val="none" w:sz="0" w:space="0" w:color="auto"/>
                              </w:divBdr>
                              <w:divsChild>
                                <w:div w:id="164367179">
                                  <w:marLeft w:val="0"/>
                                  <w:marRight w:val="0"/>
                                  <w:marTop w:val="0"/>
                                  <w:marBottom w:val="0"/>
                                  <w:divBdr>
                                    <w:top w:val="none" w:sz="0" w:space="0" w:color="auto"/>
                                    <w:left w:val="none" w:sz="0" w:space="0" w:color="auto"/>
                                    <w:bottom w:val="none" w:sz="0" w:space="0" w:color="auto"/>
                                    <w:right w:val="none" w:sz="0" w:space="0" w:color="auto"/>
                                  </w:divBdr>
                                  <w:divsChild>
                                    <w:div w:id="10108682">
                                      <w:marLeft w:val="0"/>
                                      <w:marRight w:val="0"/>
                                      <w:marTop w:val="0"/>
                                      <w:marBottom w:val="0"/>
                                      <w:divBdr>
                                        <w:top w:val="none" w:sz="0" w:space="0" w:color="auto"/>
                                        <w:left w:val="none" w:sz="0" w:space="0" w:color="auto"/>
                                        <w:bottom w:val="none" w:sz="0" w:space="0" w:color="auto"/>
                                        <w:right w:val="none" w:sz="0" w:space="0" w:color="auto"/>
                                      </w:divBdr>
                                      <w:divsChild>
                                        <w:div w:id="436995476">
                                          <w:marLeft w:val="0"/>
                                          <w:marRight w:val="0"/>
                                          <w:marTop w:val="0"/>
                                          <w:marBottom w:val="0"/>
                                          <w:divBdr>
                                            <w:top w:val="none" w:sz="0" w:space="0" w:color="auto"/>
                                            <w:left w:val="none" w:sz="0" w:space="0" w:color="auto"/>
                                            <w:bottom w:val="none" w:sz="0" w:space="0" w:color="auto"/>
                                            <w:right w:val="none" w:sz="0" w:space="0" w:color="auto"/>
                                          </w:divBdr>
                                          <w:divsChild>
                                            <w:div w:id="390689707">
                                              <w:marLeft w:val="0"/>
                                              <w:marRight w:val="0"/>
                                              <w:marTop w:val="0"/>
                                              <w:marBottom w:val="0"/>
                                              <w:divBdr>
                                                <w:top w:val="none" w:sz="0" w:space="0" w:color="auto"/>
                                                <w:left w:val="none" w:sz="0" w:space="0" w:color="auto"/>
                                                <w:bottom w:val="none" w:sz="0" w:space="0" w:color="auto"/>
                                                <w:right w:val="none" w:sz="0" w:space="0" w:color="auto"/>
                                              </w:divBdr>
                                              <w:divsChild>
                                                <w:div w:id="1156259532">
                                                  <w:marLeft w:val="0"/>
                                                  <w:marRight w:val="0"/>
                                                  <w:marTop w:val="0"/>
                                                  <w:marBottom w:val="0"/>
                                                  <w:divBdr>
                                                    <w:top w:val="none" w:sz="0" w:space="0" w:color="auto"/>
                                                    <w:left w:val="none" w:sz="0" w:space="0" w:color="auto"/>
                                                    <w:bottom w:val="none" w:sz="0" w:space="0" w:color="auto"/>
                                                    <w:right w:val="none" w:sz="0" w:space="0" w:color="auto"/>
                                                  </w:divBdr>
                                                  <w:divsChild>
                                                    <w:div w:id="1427189351">
                                                      <w:marLeft w:val="0"/>
                                                      <w:marRight w:val="0"/>
                                                      <w:marTop w:val="0"/>
                                                      <w:marBottom w:val="0"/>
                                                      <w:divBdr>
                                                        <w:top w:val="none" w:sz="0" w:space="0" w:color="auto"/>
                                                        <w:left w:val="none" w:sz="0" w:space="0" w:color="auto"/>
                                                        <w:bottom w:val="none" w:sz="0" w:space="0" w:color="auto"/>
                                                        <w:right w:val="none" w:sz="0" w:space="0" w:color="auto"/>
                                                      </w:divBdr>
                                                      <w:divsChild>
                                                        <w:div w:id="1982156324">
                                                          <w:marLeft w:val="0"/>
                                                          <w:marRight w:val="0"/>
                                                          <w:marTop w:val="0"/>
                                                          <w:marBottom w:val="0"/>
                                                          <w:divBdr>
                                                            <w:top w:val="none" w:sz="0" w:space="0" w:color="auto"/>
                                                            <w:left w:val="none" w:sz="0" w:space="0" w:color="auto"/>
                                                            <w:bottom w:val="none" w:sz="0" w:space="0" w:color="auto"/>
                                                            <w:right w:val="none" w:sz="0" w:space="0" w:color="auto"/>
                                                          </w:divBdr>
                                                          <w:divsChild>
                                                            <w:div w:id="420760434">
                                                              <w:marLeft w:val="0"/>
                                                              <w:marRight w:val="0"/>
                                                              <w:marTop w:val="0"/>
                                                              <w:marBottom w:val="0"/>
                                                              <w:divBdr>
                                                                <w:top w:val="none" w:sz="0" w:space="0" w:color="auto"/>
                                                                <w:left w:val="none" w:sz="0" w:space="0" w:color="auto"/>
                                                                <w:bottom w:val="none" w:sz="0" w:space="0" w:color="auto"/>
                                                                <w:right w:val="none" w:sz="0" w:space="0" w:color="auto"/>
                                                              </w:divBdr>
                                                              <w:divsChild>
                                                                <w:div w:id="19818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94592830">
      <w:bodyDiv w:val="1"/>
      <w:marLeft w:val="0"/>
      <w:marRight w:val="0"/>
      <w:marTop w:val="0"/>
      <w:marBottom w:val="0"/>
      <w:divBdr>
        <w:top w:val="none" w:sz="0" w:space="0" w:color="auto"/>
        <w:left w:val="none" w:sz="0" w:space="0" w:color="auto"/>
        <w:bottom w:val="none" w:sz="0" w:space="0" w:color="auto"/>
        <w:right w:val="none" w:sz="0" w:space="0" w:color="auto"/>
      </w:divBdr>
    </w:div>
    <w:div w:id="1152138460">
      <w:bodyDiv w:val="1"/>
      <w:marLeft w:val="0"/>
      <w:marRight w:val="0"/>
      <w:marTop w:val="0"/>
      <w:marBottom w:val="0"/>
      <w:divBdr>
        <w:top w:val="none" w:sz="0" w:space="0" w:color="auto"/>
        <w:left w:val="none" w:sz="0" w:space="0" w:color="auto"/>
        <w:bottom w:val="none" w:sz="0" w:space="0" w:color="auto"/>
        <w:right w:val="none" w:sz="0" w:space="0" w:color="auto"/>
      </w:divBdr>
      <w:divsChild>
        <w:div w:id="1839999706">
          <w:marLeft w:val="547"/>
          <w:marRight w:val="0"/>
          <w:marTop w:val="96"/>
          <w:marBottom w:val="0"/>
          <w:divBdr>
            <w:top w:val="none" w:sz="0" w:space="0" w:color="auto"/>
            <w:left w:val="none" w:sz="0" w:space="0" w:color="auto"/>
            <w:bottom w:val="none" w:sz="0" w:space="0" w:color="auto"/>
            <w:right w:val="none" w:sz="0" w:space="0" w:color="auto"/>
          </w:divBdr>
        </w:div>
        <w:div w:id="1473055393">
          <w:marLeft w:val="547"/>
          <w:marRight w:val="0"/>
          <w:marTop w:val="96"/>
          <w:marBottom w:val="0"/>
          <w:divBdr>
            <w:top w:val="none" w:sz="0" w:space="0" w:color="auto"/>
            <w:left w:val="none" w:sz="0" w:space="0" w:color="auto"/>
            <w:bottom w:val="none" w:sz="0" w:space="0" w:color="auto"/>
            <w:right w:val="none" w:sz="0" w:space="0" w:color="auto"/>
          </w:divBdr>
        </w:div>
        <w:div w:id="1152405381">
          <w:marLeft w:val="547"/>
          <w:marRight w:val="0"/>
          <w:marTop w:val="96"/>
          <w:marBottom w:val="0"/>
          <w:divBdr>
            <w:top w:val="none" w:sz="0" w:space="0" w:color="auto"/>
            <w:left w:val="none" w:sz="0" w:space="0" w:color="auto"/>
            <w:bottom w:val="none" w:sz="0" w:space="0" w:color="auto"/>
            <w:right w:val="none" w:sz="0" w:space="0" w:color="auto"/>
          </w:divBdr>
        </w:div>
      </w:divsChild>
    </w:div>
    <w:div w:id="1163281691">
      <w:bodyDiv w:val="1"/>
      <w:marLeft w:val="0"/>
      <w:marRight w:val="0"/>
      <w:marTop w:val="0"/>
      <w:marBottom w:val="0"/>
      <w:divBdr>
        <w:top w:val="none" w:sz="0" w:space="0" w:color="auto"/>
        <w:left w:val="none" w:sz="0" w:space="0" w:color="auto"/>
        <w:bottom w:val="none" w:sz="0" w:space="0" w:color="auto"/>
        <w:right w:val="none" w:sz="0" w:space="0" w:color="auto"/>
      </w:divBdr>
    </w:div>
    <w:div w:id="1194423120">
      <w:bodyDiv w:val="1"/>
      <w:marLeft w:val="0"/>
      <w:marRight w:val="0"/>
      <w:marTop w:val="0"/>
      <w:marBottom w:val="0"/>
      <w:divBdr>
        <w:top w:val="none" w:sz="0" w:space="0" w:color="auto"/>
        <w:left w:val="none" w:sz="0" w:space="0" w:color="auto"/>
        <w:bottom w:val="none" w:sz="0" w:space="0" w:color="auto"/>
        <w:right w:val="none" w:sz="0" w:space="0" w:color="auto"/>
      </w:divBdr>
    </w:div>
    <w:div w:id="1233812423">
      <w:bodyDiv w:val="1"/>
      <w:marLeft w:val="0"/>
      <w:marRight w:val="0"/>
      <w:marTop w:val="0"/>
      <w:marBottom w:val="0"/>
      <w:divBdr>
        <w:top w:val="none" w:sz="0" w:space="0" w:color="auto"/>
        <w:left w:val="none" w:sz="0" w:space="0" w:color="auto"/>
        <w:bottom w:val="none" w:sz="0" w:space="0" w:color="auto"/>
        <w:right w:val="none" w:sz="0" w:space="0" w:color="auto"/>
      </w:divBdr>
    </w:div>
    <w:div w:id="1320158022">
      <w:bodyDiv w:val="1"/>
      <w:marLeft w:val="0"/>
      <w:marRight w:val="0"/>
      <w:marTop w:val="0"/>
      <w:marBottom w:val="0"/>
      <w:divBdr>
        <w:top w:val="none" w:sz="0" w:space="0" w:color="auto"/>
        <w:left w:val="none" w:sz="0" w:space="0" w:color="auto"/>
        <w:bottom w:val="none" w:sz="0" w:space="0" w:color="auto"/>
        <w:right w:val="none" w:sz="0" w:space="0" w:color="auto"/>
      </w:divBdr>
      <w:divsChild>
        <w:div w:id="1450127419">
          <w:marLeft w:val="0"/>
          <w:marRight w:val="0"/>
          <w:marTop w:val="0"/>
          <w:marBottom w:val="0"/>
          <w:divBdr>
            <w:top w:val="none" w:sz="0" w:space="0" w:color="auto"/>
            <w:left w:val="none" w:sz="0" w:space="0" w:color="auto"/>
            <w:bottom w:val="none" w:sz="0" w:space="0" w:color="auto"/>
            <w:right w:val="none" w:sz="0" w:space="0" w:color="auto"/>
          </w:divBdr>
          <w:divsChild>
            <w:div w:id="901647069">
              <w:marLeft w:val="0"/>
              <w:marRight w:val="0"/>
              <w:marTop w:val="0"/>
              <w:marBottom w:val="0"/>
              <w:divBdr>
                <w:top w:val="none" w:sz="0" w:space="0" w:color="auto"/>
                <w:left w:val="none" w:sz="0" w:space="0" w:color="auto"/>
                <w:bottom w:val="none" w:sz="0" w:space="0" w:color="auto"/>
                <w:right w:val="none" w:sz="0" w:space="0" w:color="auto"/>
              </w:divBdr>
              <w:divsChild>
                <w:div w:id="310137900">
                  <w:marLeft w:val="0"/>
                  <w:marRight w:val="0"/>
                  <w:marTop w:val="0"/>
                  <w:marBottom w:val="0"/>
                  <w:divBdr>
                    <w:top w:val="none" w:sz="0" w:space="0" w:color="auto"/>
                    <w:left w:val="none" w:sz="0" w:space="0" w:color="auto"/>
                    <w:bottom w:val="none" w:sz="0" w:space="0" w:color="auto"/>
                    <w:right w:val="none" w:sz="0" w:space="0" w:color="auto"/>
                  </w:divBdr>
                  <w:divsChild>
                    <w:div w:id="482430121">
                      <w:marLeft w:val="0"/>
                      <w:marRight w:val="0"/>
                      <w:marTop w:val="0"/>
                      <w:marBottom w:val="0"/>
                      <w:divBdr>
                        <w:top w:val="none" w:sz="0" w:space="0" w:color="auto"/>
                        <w:left w:val="none" w:sz="0" w:space="0" w:color="auto"/>
                        <w:bottom w:val="none" w:sz="0" w:space="0" w:color="auto"/>
                        <w:right w:val="none" w:sz="0" w:space="0" w:color="auto"/>
                      </w:divBdr>
                      <w:divsChild>
                        <w:div w:id="1207988413">
                          <w:marLeft w:val="0"/>
                          <w:marRight w:val="0"/>
                          <w:marTop w:val="0"/>
                          <w:marBottom w:val="0"/>
                          <w:divBdr>
                            <w:top w:val="none" w:sz="0" w:space="0" w:color="auto"/>
                            <w:left w:val="none" w:sz="0" w:space="0" w:color="auto"/>
                            <w:bottom w:val="none" w:sz="0" w:space="0" w:color="auto"/>
                            <w:right w:val="none" w:sz="0" w:space="0" w:color="auto"/>
                          </w:divBdr>
                          <w:divsChild>
                            <w:div w:id="947002435">
                              <w:marLeft w:val="0"/>
                              <w:marRight w:val="0"/>
                              <w:marTop w:val="0"/>
                              <w:marBottom w:val="0"/>
                              <w:divBdr>
                                <w:top w:val="none" w:sz="0" w:space="0" w:color="auto"/>
                                <w:left w:val="none" w:sz="0" w:space="0" w:color="auto"/>
                                <w:bottom w:val="none" w:sz="0" w:space="0" w:color="auto"/>
                                <w:right w:val="none" w:sz="0" w:space="0" w:color="auto"/>
                              </w:divBdr>
                              <w:divsChild>
                                <w:div w:id="58092713">
                                  <w:marLeft w:val="0"/>
                                  <w:marRight w:val="0"/>
                                  <w:marTop w:val="0"/>
                                  <w:marBottom w:val="0"/>
                                  <w:divBdr>
                                    <w:top w:val="none" w:sz="0" w:space="0" w:color="auto"/>
                                    <w:left w:val="none" w:sz="0" w:space="0" w:color="auto"/>
                                    <w:bottom w:val="none" w:sz="0" w:space="0" w:color="auto"/>
                                    <w:right w:val="none" w:sz="0" w:space="0" w:color="auto"/>
                                  </w:divBdr>
                                  <w:divsChild>
                                    <w:div w:id="1587420495">
                                      <w:marLeft w:val="0"/>
                                      <w:marRight w:val="0"/>
                                      <w:marTop w:val="0"/>
                                      <w:marBottom w:val="0"/>
                                      <w:divBdr>
                                        <w:top w:val="none" w:sz="0" w:space="0" w:color="auto"/>
                                        <w:left w:val="none" w:sz="0" w:space="0" w:color="auto"/>
                                        <w:bottom w:val="none" w:sz="0" w:space="0" w:color="auto"/>
                                        <w:right w:val="none" w:sz="0" w:space="0" w:color="auto"/>
                                      </w:divBdr>
                                      <w:divsChild>
                                        <w:div w:id="2003000492">
                                          <w:marLeft w:val="0"/>
                                          <w:marRight w:val="0"/>
                                          <w:marTop w:val="0"/>
                                          <w:marBottom w:val="0"/>
                                          <w:divBdr>
                                            <w:top w:val="none" w:sz="0" w:space="0" w:color="auto"/>
                                            <w:left w:val="none" w:sz="0" w:space="0" w:color="auto"/>
                                            <w:bottom w:val="none" w:sz="0" w:space="0" w:color="auto"/>
                                            <w:right w:val="none" w:sz="0" w:space="0" w:color="auto"/>
                                          </w:divBdr>
                                          <w:divsChild>
                                            <w:div w:id="53936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7049483">
      <w:bodyDiv w:val="1"/>
      <w:marLeft w:val="0"/>
      <w:marRight w:val="0"/>
      <w:marTop w:val="0"/>
      <w:marBottom w:val="0"/>
      <w:divBdr>
        <w:top w:val="none" w:sz="0" w:space="0" w:color="auto"/>
        <w:left w:val="none" w:sz="0" w:space="0" w:color="auto"/>
        <w:bottom w:val="none" w:sz="0" w:space="0" w:color="auto"/>
        <w:right w:val="none" w:sz="0" w:space="0" w:color="auto"/>
      </w:divBdr>
    </w:div>
    <w:div w:id="1349335669">
      <w:bodyDiv w:val="1"/>
      <w:marLeft w:val="0"/>
      <w:marRight w:val="0"/>
      <w:marTop w:val="0"/>
      <w:marBottom w:val="0"/>
      <w:divBdr>
        <w:top w:val="none" w:sz="0" w:space="0" w:color="auto"/>
        <w:left w:val="none" w:sz="0" w:space="0" w:color="auto"/>
        <w:bottom w:val="none" w:sz="0" w:space="0" w:color="auto"/>
        <w:right w:val="none" w:sz="0" w:space="0" w:color="auto"/>
      </w:divBdr>
    </w:div>
    <w:div w:id="1424297563">
      <w:bodyDiv w:val="1"/>
      <w:marLeft w:val="0"/>
      <w:marRight w:val="0"/>
      <w:marTop w:val="0"/>
      <w:marBottom w:val="0"/>
      <w:divBdr>
        <w:top w:val="none" w:sz="0" w:space="0" w:color="auto"/>
        <w:left w:val="none" w:sz="0" w:space="0" w:color="auto"/>
        <w:bottom w:val="none" w:sz="0" w:space="0" w:color="auto"/>
        <w:right w:val="none" w:sz="0" w:space="0" w:color="auto"/>
      </w:divBdr>
      <w:divsChild>
        <w:div w:id="674306849">
          <w:marLeft w:val="0"/>
          <w:marRight w:val="0"/>
          <w:marTop w:val="0"/>
          <w:marBottom w:val="0"/>
          <w:divBdr>
            <w:top w:val="none" w:sz="0" w:space="0" w:color="auto"/>
            <w:left w:val="none" w:sz="0" w:space="0" w:color="auto"/>
            <w:bottom w:val="none" w:sz="0" w:space="0" w:color="auto"/>
            <w:right w:val="none" w:sz="0" w:space="0" w:color="auto"/>
          </w:divBdr>
        </w:div>
      </w:divsChild>
    </w:div>
    <w:div w:id="1450471341">
      <w:bodyDiv w:val="1"/>
      <w:marLeft w:val="0"/>
      <w:marRight w:val="0"/>
      <w:marTop w:val="0"/>
      <w:marBottom w:val="0"/>
      <w:divBdr>
        <w:top w:val="none" w:sz="0" w:space="0" w:color="auto"/>
        <w:left w:val="none" w:sz="0" w:space="0" w:color="auto"/>
        <w:bottom w:val="none" w:sz="0" w:space="0" w:color="auto"/>
        <w:right w:val="none" w:sz="0" w:space="0" w:color="auto"/>
      </w:divBdr>
      <w:divsChild>
        <w:div w:id="423963950">
          <w:marLeft w:val="0"/>
          <w:marRight w:val="0"/>
          <w:marTop w:val="0"/>
          <w:marBottom w:val="0"/>
          <w:divBdr>
            <w:top w:val="none" w:sz="0" w:space="0" w:color="auto"/>
            <w:left w:val="none" w:sz="0" w:space="0" w:color="auto"/>
            <w:bottom w:val="none" w:sz="0" w:space="0" w:color="auto"/>
            <w:right w:val="none" w:sz="0" w:space="0" w:color="auto"/>
          </w:divBdr>
          <w:divsChild>
            <w:div w:id="292561813">
              <w:marLeft w:val="0"/>
              <w:marRight w:val="0"/>
              <w:marTop w:val="0"/>
              <w:marBottom w:val="0"/>
              <w:divBdr>
                <w:top w:val="none" w:sz="0" w:space="0" w:color="auto"/>
                <w:left w:val="none" w:sz="0" w:space="0" w:color="auto"/>
                <w:bottom w:val="none" w:sz="0" w:space="0" w:color="auto"/>
                <w:right w:val="none" w:sz="0" w:space="0" w:color="auto"/>
              </w:divBdr>
              <w:divsChild>
                <w:div w:id="1581139563">
                  <w:marLeft w:val="0"/>
                  <w:marRight w:val="0"/>
                  <w:marTop w:val="0"/>
                  <w:marBottom w:val="0"/>
                  <w:divBdr>
                    <w:top w:val="none" w:sz="0" w:space="0" w:color="auto"/>
                    <w:left w:val="none" w:sz="0" w:space="0" w:color="auto"/>
                    <w:bottom w:val="none" w:sz="0" w:space="0" w:color="auto"/>
                    <w:right w:val="none" w:sz="0" w:space="0" w:color="auto"/>
                  </w:divBdr>
                  <w:divsChild>
                    <w:div w:id="1506482757">
                      <w:marLeft w:val="0"/>
                      <w:marRight w:val="0"/>
                      <w:marTop w:val="0"/>
                      <w:marBottom w:val="0"/>
                      <w:divBdr>
                        <w:top w:val="none" w:sz="0" w:space="0" w:color="auto"/>
                        <w:left w:val="none" w:sz="0" w:space="0" w:color="auto"/>
                        <w:bottom w:val="none" w:sz="0" w:space="0" w:color="auto"/>
                        <w:right w:val="none" w:sz="0" w:space="0" w:color="auto"/>
                      </w:divBdr>
                      <w:divsChild>
                        <w:div w:id="299384028">
                          <w:marLeft w:val="0"/>
                          <w:marRight w:val="0"/>
                          <w:marTop w:val="0"/>
                          <w:marBottom w:val="0"/>
                          <w:divBdr>
                            <w:top w:val="none" w:sz="0" w:space="0" w:color="auto"/>
                            <w:left w:val="none" w:sz="0" w:space="0" w:color="auto"/>
                            <w:bottom w:val="none" w:sz="0" w:space="0" w:color="auto"/>
                            <w:right w:val="none" w:sz="0" w:space="0" w:color="auto"/>
                          </w:divBdr>
                          <w:divsChild>
                            <w:div w:id="913860993">
                              <w:marLeft w:val="0"/>
                              <w:marRight w:val="0"/>
                              <w:marTop w:val="0"/>
                              <w:marBottom w:val="0"/>
                              <w:divBdr>
                                <w:top w:val="none" w:sz="0" w:space="0" w:color="auto"/>
                                <w:left w:val="none" w:sz="0" w:space="0" w:color="auto"/>
                                <w:bottom w:val="none" w:sz="0" w:space="0" w:color="auto"/>
                                <w:right w:val="none" w:sz="0" w:space="0" w:color="auto"/>
                              </w:divBdr>
                              <w:divsChild>
                                <w:div w:id="1797093139">
                                  <w:marLeft w:val="0"/>
                                  <w:marRight w:val="0"/>
                                  <w:marTop w:val="0"/>
                                  <w:marBottom w:val="0"/>
                                  <w:divBdr>
                                    <w:top w:val="none" w:sz="0" w:space="0" w:color="auto"/>
                                    <w:left w:val="none" w:sz="0" w:space="0" w:color="auto"/>
                                    <w:bottom w:val="none" w:sz="0" w:space="0" w:color="auto"/>
                                    <w:right w:val="none" w:sz="0" w:space="0" w:color="auto"/>
                                  </w:divBdr>
                                  <w:divsChild>
                                    <w:div w:id="1966622254">
                                      <w:marLeft w:val="0"/>
                                      <w:marRight w:val="0"/>
                                      <w:marTop w:val="0"/>
                                      <w:marBottom w:val="0"/>
                                      <w:divBdr>
                                        <w:top w:val="none" w:sz="0" w:space="0" w:color="auto"/>
                                        <w:left w:val="none" w:sz="0" w:space="0" w:color="auto"/>
                                        <w:bottom w:val="none" w:sz="0" w:space="0" w:color="auto"/>
                                        <w:right w:val="none" w:sz="0" w:space="0" w:color="auto"/>
                                      </w:divBdr>
                                      <w:divsChild>
                                        <w:div w:id="1657756214">
                                          <w:marLeft w:val="0"/>
                                          <w:marRight w:val="0"/>
                                          <w:marTop w:val="0"/>
                                          <w:marBottom w:val="0"/>
                                          <w:divBdr>
                                            <w:top w:val="none" w:sz="0" w:space="0" w:color="auto"/>
                                            <w:left w:val="none" w:sz="0" w:space="0" w:color="auto"/>
                                            <w:bottom w:val="none" w:sz="0" w:space="0" w:color="auto"/>
                                            <w:right w:val="none" w:sz="0" w:space="0" w:color="auto"/>
                                          </w:divBdr>
                                          <w:divsChild>
                                            <w:div w:id="167595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580986">
      <w:bodyDiv w:val="1"/>
      <w:marLeft w:val="0"/>
      <w:marRight w:val="0"/>
      <w:marTop w:val="0"/>
      <w:marBottom w:val="0"/>
      <w:divBdr>
        <w:top w:val="none" w:sz="0" w:space="0" w:color="auto"/>
        <w:left w:val="none" w:sz="0" w:space="0" w:color="auto"/>
        <w:bottom w:val="none" w:sz="0" w:space="0" w:color="auto"/>
        <w:right w:val="none" w:sz="0" w:space="0" w:color="auto"/>
      </w:divBdr>
    </w:div>
    <w:div w:id="1523855854">
      <w:bodyDiv w:val="1"/>
      <w:marLeft w:val="0"/>
      <w:marRight w:val="0"/>
      <w:marTop w:val="0"/>
      <w:marBottom w:val="0"/>
      <w:divBdr>
        <w:top w:val="none" w:sz="0" w:space="0" w:color="auto"/>
        <w:left w:val="none" w:sz="0" w:space="0" w:color="auto"/>
        <w:bottom w:val="none" w:sz="0" w:space="0" w:color="auto"/>
        <w:right w:val="none" w:sz="0" w:space="0" w:color="auto"/>
      </w:divBdr>
      <w:divsChild>
        <w:div w:id="605431589">
          <w:marLeft w:val="0"/>
          <w:marRight w:val="0"/>
          <w:marTop w:val="0"/>
          <w:marBottom w:val="0"/>
          <w:divBdr>
            <w:top w:val="none" w:sz="0" w:space="0" w:color="auto"/>
            <w:left w:val="none" w:sz="0" w:space="0" w:color="auto"/>
            <w:bottom w:val="none" w:sz="0" w:space="0" w:color="auto"/>
            <w:right w:val="none" w:sz="0" w:space="0" w:color="auto"/>
          </w:divBdr>
          <w:divsChild>
            <w:div w:id="1614047690">
              <w:marLeft w:val="0"/>
              <w:marRight w:val="0"/>
              <w:marTop w:val="0"/>
              <w:marBottom w:val="0"/>
              <w:divBdr>
                <w:top w:val="none" w:sz="0" w:space="0" w:color="auto"/>
                <w:left w:val="none" w:sz="0" w:space="0" w:color="auto"/>
                <w:bottom w:val="none" w:sz="0" w:space="0" w:color="auto"/>
                <w:right w:val="none" w:sz="0" w:space="0" w:color="auto"/>
              </w:divBdr>
              <w:divsChild>
                <w:div w:id="805439661">
                  <w:marLeft w:val="0"/>
                  <w:marRight w:val="0"/>
                  <w:marTop w:val="0"/>
                  <w:marBottom w:val="0"/>
                  <w:divBdr>
                    <w:top w:val="none" w:sz="0" w:space="0" w:color="auto"/>
                    <w:left w:val="none" w:sz="0" w:space="0" w:color="auto"/>
                    <w:bottom w:val="none" w:sz="0" w:space="0" w:color="auto"/>
                    <w:right w:val="none" w:sz="0" w:space="0" w:color="auto"/>
                  </w:divBdr>
                  <w:divsChild>
                    <w:div w:id="2088571670">
                      <w:marLeft w:val="0"/>
                      <w:marRight w:val="0"/>
                      <w:marTop w:val="0"/>
                      <w:marBottom w:val="0"/>
                      <w:divBdr>
                        <w:top w:val="none" w:sz="0" w:space="0" w:color="auto"/>
                        <w:left w:val="none" w:sz="0" w:space="0" w:color="auto"/>
                        <w:bottom w:val="none" w:sz="0" w:space="0" w:color="auto"/>
                        <w:right w:val="none" w:sz="0" w:space="0" w:color="auto"/>
                      </w:divBdr>
                      <w:divsChild>
                        <w:div w:id="740518883">
                          <w:marLeft w:val="0"/>
                          <w:marRight w:val="0"/>
                          <w:marTop w:val="0"/>
                          <w:marBottom w:val="0"/>
                          <w:divBdr>
                            <w:top w:val="none" w:sz="0" w:space="0" w:color="auto"/>
                            <w:left w:val="none" w:sz="0" w:space="0" w:color="auto"/>
                            <w:bottom w:val="none" w:sz="0" w:space="0" w:color="auto"/>
                            <w:right w:val="none" w:sz="0" w:space="0" w:color="auto"/>
                          </w:divBdr>
                          <w:divsChild>
                            <w:div w:id="961418042">
                              <w:marLeft w:val="0"/>
                              <w:marRight w:val="0"/>
                              <w:marTop w:val="0"/>
                              <w:marBottom w:val="0"/>
                              <w:divBdr>
                                <w:top w:val="none" w:sz="0" w:space="0" w:color="auto"/>
                                <w:left w:val="none" w:sz="0" w:space="0" w:color="auto"/>
                                <w:bottom w:val="none" w:sz="0" w:space="0" w:color="auto"/>
                                <w:right w:val="none" w:sz="0" w:space="0" w:color="auto"/>
                              </w:divBdr>
                              <w:divsChild>
                                <w:div w:id="2139832209">
                                  <w:marLeft w:val="0"/>
                                  <w:marRight w:val="0"/>
                                  <w:marTop w:val="0"/>
                                  <w:marBottom w:val="0"/>
                                  <w:divBdr>
                                    <w:top w:val="none" w:sz="0" w:space="0" w:color="auto"/>
                                    <w:left w:val="none" w:sz="0" w:space="0" w:color="auto"/>
                                    <w:bottom w:val="none" w:sz="0" w:space="0" w:color="auto"/>
                                    <w:right w:val="none" w:sz="0" w:space="0" w:color="auto"/>
                                  </w:divBdr>
                                  <w:divsChild>
                                    <w:div w:id="1160004182">
                                      <w:marLeft w:val="0"/>
                                      <w:marRight w:val="0"/>
                                      <w:marTop w:val="0"/>
                                      <w:marBottom w:val="0"/>
                                      <w:divBdr>
                                        <w:top w:val="none" w:sz="0" w:space="0" w:color="auto"/>
                                        <w:left w:val="none" w:sz="0" w:space="0" w:color="auto"/>
                                        <w:bottom w:val="none" w:sz="0" w:space="0" w:color="auto"/>
                                        <w:right w:val="none" w:sz="0" w:space="0" w:color="auto"/>
                                      </w:divBdr>
                                      <w:divsChild>
                                        <w:div w:id="1507330744">
                                          <w:marLeft w:val="0"/>
                                          <w:marRight w:val="0"/>
                                          <w:marTop w:val="0"/>
                                          <w:marBottom w:val="0"/>
                                          <w:divBdr>
                                            <w:top w:val="none" w:sz="0" w:space="0" w:color="auto"/>
                                            <w:left w:val="none" w:sz="0" w:space="0" w:color="auto"/>
                                            <w:bottom w:val="none" w:sz="0" w:space="0" w:color="auto"/>
                                            <w:right w:val="none" w:sz="0" w:space="0" w:color="auto"/>
                                          </w:divBdr>
                                          <w:divsChild>
                                            <w:div w:id="146815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215214">
      <w:bodyDiv w:val="1"/>
      <w:marLeft w:val="0"/>
      <w:marRight w:val="0"/>
      <w:marTop w:val="0"/>
      <w:marBottom w:val="0"/>
      <w:divBdr>
        <w:top w:val="none" w:sz="0" w:space="0" w:color="auto"/>
        <w:left w:val="none" w:sz="0" w:space="0" w:color="auto"/>
        <w:bottom w:val="none" w:sz="0" w:space="0" w:color="auto"/>
        <w:right w:val="none" w:sz="0" w:space="0" w:color="auto"/>
      </w:divBdr>
      <w:divsChild>
        <w:div w:id="145977307">
          <w:marLeft w:val="0"/>
          <w:marRight w:val="0"/>
          <w:marTop w:val="0"/>
          <w:marBottom w:val="0"/>
          <w:divBdr>
            <w:top w:val="none" w:sz="0" w:space="0" w:color="auto"/>
            <w:left w:val="none" w:sz="0" w:space="0" w:color="auto"/>
            <w:bottom w:val="none" w:sz="0" w:space="0" w:color="auto"/>
            <w:right w:val="none" w:sz="0" w:space="0" w:color="auto"/>
          </w:divBdr>
          <w:divsChild>
            <w:div w:id="1224870966">
              <w:marLeft w:val="0"/>
              <w:marRight w:val="0"/>
              <w:marTop w:val="0"/>
              <w:marBottom w:val="0"/>
              <w:divBdr>
                <w:top w:val="none" w:sz="0" w:space="0" w:color="auto"/>
                <w:left w:val="none" w:sz="0" w:space="0" w:color="auto"/>
                <w:bottom w:val="none" w:sz="0" w:space="0" w:color="auto"/>
                <w:right w:val="none" w:sz="0" w:space="0" w:color="auto"/>
              </w:divBdr>
              <w:divsChild>
                <w:div w:id="465851229">
                  <w:marLeft w:val="0"/>
                  <w:marRight w:val="0"/>
                  <w:marTop w:val="0"/>
                  <w:marBottom w:val="0"/>
                  <w:divBdr>
                    <w:top w:val="none" w:sz="0" w:space="0" w:color="auto"/>
                    <w:left w:val="none" w:sz="0" w:space="0" w:color="auto"/>
                    <w:bottom w:val="none" w:sz="0" w:space="0" w:color="auto"/>
                    <w:right w:val="none" w:sz="0" w:space="0" w:color="auto"/>
                  </w:divBdr>
                  <w:divsChild>
                    <w:div w:id="643896852">
                      <w:marLeft w:val="0"/>
                      <w:marRight w:val="0"/>
                      <w:marTop w:val="0"/>
                      <w:marBottom w:val="0"/>
                      <w:divBdr>
                        <w:top w:val="none" w:sz="0" w:space="0" w:color="auto"/>
                        <w:left w:val="none" w:sz="0" w:space="0" w:color="auto"/>
                        <w:bottom w:val="none" w:sz="0" w:space="0" w:color="auto"/>
                        <w:right w:val="none" w:sz="0" w:space="0" w:color="auto"/>
                      </w:divBdr>
                      <w:divsChild>
                        <w:div w:id="1816869252">
                          <w:marLeft w:val="0"/>
                          <w:marRight w:val="0"/>
                          <w:marTop w:val="0"/>
                          <w:marBottom w:val="0"/>
                          <w:divBdr>
                            <w:top w:val="none" w:sz="0" w:space="0" w:color="auto"/>
                            <w:left w:val="none" w:sz="0" w:space="0" w:color="auto"/>
                            <w:bottom w:val="none" w:sz="0" w:space="0" w:color="auto"/>
                            <w:right w:val="none" w:sz="0" w:space="0" w:color="auto"/>
                          </w:divBdr>
                          <w:divsChild>
                            <w:div w:id="1939370098">
                              <w:marLeft w:val="0"/>
                              <w:marRight w:val="0"/>
                              <w:marTop w:val="0"/>
                              <w:marBottom w:val="0"/>
                              <w:divBdr>
                                <w:top w:val="none" w:sz="0" w:space="0" w:color="auto"/>
                                <w:left w:val="none" w:sz="0" w:space="0" w:color="auto"/>
                                <w:bottom w:val="none" w:sz="0" w:space="0" w:color="auto"/>
                                <w:right w:val="none" w:sz="0" w:space="0" w:color="auto"/>
                              </w:divBdr>
                              <w:divsChild>
                                <w:div w:id="584582017">
                                  <w:marLeft w:val="0"/>
                                  <w:marRight w:val="0"/>
                                  <w:marTop w:val="0"/>
                                  <w:marBottom w:val="0"/>
                                  <w:divBdr>
                                    <w:top w:val="none" w:sz="0" w:space="0" w:color="auto"/>
                                    <w:left w:val="none" w:sz="0" w:space="0" w:color="auto"/>
                                    <w:bottom w:val="none" w:sz="0" w:space="0" w:color="auto"/>
                                    <w:right w:val="none" w:sz="0" w:space="0" w:color="auto"/>
                                  </w:divBdr>
                                  <w:divsChild>
                                    <w:div w:id="1409695853">
                                      <w:marLeft w:val="0"/>
                                      <w:marRight w:val="0"/>
                                      <w:marTop w:val="0"/>
                                      <w:marBottom w:val="0"/>
                                      <w:divBdr>
                                        <w:top w:val="none" w:sz="0" w:space="0" w:color="auto"/>
                                        <w:left w:val="none" w:sz="0" w:space="0" w:color="auto"/>
                                        <w:bottom w:val="none" w:sz="0" w:space="0" w:color="auto"/>
                                        <w:right w:val="none" w:sz="0" w:space="0" w:color="auto"/>
                                      </w:divBdr>
                                      <w:divsChild>
                                        <w:div w:id="294456810">
                                          <w:marLeft w:val="0"/>
                                          <w:marRight w:val="0"/>
                                          <w:marTop w:val="0"/>
                                          <w:marBottom w:val="0"/>
                                          <w:divBdr>
                                            <w:top w:val="none" w:sz="0" w:space="0" w:color="auto"/>
                                            <w:left w:val="none" w:sz="0" w:space="0" w:color="auto"/>
                                            <w:bottom w:val="none" w:sz="0" w:space="0" w:color="auto"/>
                                            <w:right w:val="none" w:sz="0" w:space="0" w:color="auto"/>
                                          </w:divBdr>
                                          <w:divsChild>
                                            <w:div w:id="203977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367193">
      <w:bodyDiv w:val="1"/>
      <w:marLeft w:val="0"/>
      <w:marRight w:val="0"/>
      <w:marTop w:val="0"/>
      <w:marBottom w:val="0"/>
      <w:divBdr>
        <w:top w:val="none" w:sz="0" w:space="0" w:color="auto"/>
        <w:left w:val="none" w:sz="0" w:space="0" w:color="auto"/>
        <w:bottom w:val="none" w:sz="0" w:space="0" w:color="auto"/>
        <w:right w:val="none" w:sz="0" w:space="0" w:color="auto"/>
      </w:divBdr>
    </w:div>
    <w:div w:id="1639146794">
      <w:bodyDiv w:val="1"/>
      <w:marLeft w:val="0"/>
      <w:marRight w:val="0"/>
      <w:marTop w:val="0"/>
      <w:marBottom w:val="0"/>
      <w:divBdr>
        <w:top w:val="none" w:sz="0" w:space="0" w:color="auto"/>
        <w:left w:val="none" w:sz="0" w:space="0" w:color="auto"/>
        <w:bottom w:val="none" w:sz="0" w:space="0" w:color="auto"/>
        <w:right w:val="none" w:sz="0" w:space="0" w:color="auto"/>
      </w:divBdr>
    </w:div>
    <w:div w:id="1686980706">
      <w:bodyDiv w:val="1"/>
      <w:marLeft w:val="0"/>
      <w:marRight w:val="0"/>
      <w:marTop w:val="0"/>
      <w:marBottom w:val="0"/>
      <w:divBdr>
        <w:top w:val="none" w:sz="0" w:space="0" w:color="auto"/>
        <w:left w:val="none" w:sz="0" w:space="0" w:color="auto"/>
        <w:bottom w:val="none" w:sz="0" w:space="0" w:color="auto"/>
        <w:right w:val="none" w:sz="0" w:space="0" w:color="auto"/>
      </w:divBdr>
    </w:div>
    <w:div w:id="1687830616">
      <w:bodyDiv w:val="1"/>
      <w:marLeft w:val="0"/>
      <w:marRight w:val="0"/>
      <w:marTop w:val="0"/>
      <w:marBottom w:val="0"/>
      <w:divBdr>
        <w:top w:val="none" w:sz="0" w:space="0" w:color="auto"/>
        <w:left w:val="none" w:sz="0" w:space="0" w:color="auto"/>
        <w:bottom w:val="none" w:sz="0" w:space="0" w:color="auto"/>
        <w:right w:val="none" w:sz="0" w:space="0" w:color="auto"/>
      </w:divBdr>
      <w:divsChild>
        <w:div w:id="45571201">
          <w:marLeft w:val="0"/>
          <w:marRight w:val="0"/>
          <w:marTop w:val="0"/>
          <w:marBottom w:val="0"/>
          <w:divBdr>
            <w:top w:val="none" w:sz="0" w:space="0" w:color="auto"/>
            <w:left w:val="none" w:sz="0" w:space="0" w:color="auto"/>
            <w:bottom w:val="none" w:sz="0" w:space="0" w:color="auto"/>
            <w:right w:val="none" w:sz="0" w:space="0" w:color="auto"/>
          </w:divBdr>
          <w:divsChild>
            <w:div w:id="1629435234">
              <w:marLeft w:val="0"/>
              <w:marRight w:val="0"/>
              <w:marTop w:val="0"/>
              <w:marBottom w:val="0"/>
              <w:divBdr>
                <w:top w:val="none" w:sz="0" w:space="0" w:color="auto"/>
                <w:left w:val="none" w:sz="0" w:space="0" w:color="auto"/>
                <w:bottom w:val="none" w:sz="0" w:space="0" w:color="auto"/>
                <w:right w:val="none" w:sz="0" w:space="0" w:color="auto"/>
              </w:divBdr>
              <w:divsChild>
                <w:div w:id="272518502">
                  <w:marLeft w:val="0"/>
                  <w:marRight w:val="0"/>
                  <w:marTop w:val="0"/>
                  <w:marBottom w:val="0"/>
                  <w:divBdr>
                    <w:top w:val="none" w:sz="0" w:space="0" w:color="auto"/>
                    <w:left w:val="none" w:sz="0" w:space="0" w:color="auto"/>
                    <w:bottom w:val="none" w:sz="0" w:space="0" w:color="auto"/>
                    <w:right w:val="none" w:sz="0" w:space="0" w:color="auto"/>
                  </w:divBdr>
                  <w:divsChild>
                    <w:div w:id="1921014651">
                      <w:marLeft w:val="0"/>
                      <w:marRight w:val="0"/>
                      <w:marTop w:val="0"/>
                      <w:marBottom w:val="0"/>
                      <w:divBdr>
                        <w:top w:val="none" w:sz="0" w:space="0" w:color="auto"/>
                        <w:left w:val="none" w:sz="0" w:space="0" w:color="auto"/>
                        <w:bottom w:val="none" w:sz="0" w:space="0" w:color="auto"/>
                        <w:right w:val="none" w:sz="0" w:space="0" w:color="auto"/>
                      </w:divBdr>
                      <w:divsChild>
                        <w:div w:id="1562910345">
                          <w:marLeft w:val="0"/>
                          <w:marRight w:val="0"/>
                          <w:marTop w:val="0"/>
                          <w:marBottom w:val="0"/>
                          <w:divBdr>
                            <w:top w:val="none" w:sz="0" w:space="0" w:color="auto"/>
                            <w:left w:val="none" w:sz="0" w:space="0" w:color="auto"/>
                            <w:bottom w:val="none" w:sz="0" w:space="0" w:color="auto"/>
                            <w:right w:val="none" w:sz="0" w:space="0" w:color="auto"/>
                          </w:divBdr>
                          <w:divsChild>
                            <w:div w:id="656113568">
                              <w:marLeft w:val="0"/>
                              <w:marRight w:val="0"/>
                              <w:marTop w:val="0"/>
                              <w:marBottom w:val="0"/>
                              <w:divBdr>
                                <w:top w:val="none" w:sz="0" w:space="0" w:color="auto"/>
                                <w:left w:val="none" w:sz="0" w:space="0" w:color="auto"/>
                                <w:bottom w:val="none" w:sz="0" w:space="0" w:color="auto"/>
                                <w:right w:val="none" w:sz="0" w:space="0" w:color="auto"/>
                              </w:divBdr>
                              <w:divsChild>
                                <w:div w:id="1727795636">
                                  <w:marLeft w:val="0"/>
                                  <w:marRight w:val="0"/>
                                  <w:marTop w:val="0"/>
                                  <w:marBottom w:val="0"/>
                                  <w:divBdr>
                                    <w:top w:val="none" w:sz="0" w:space="0" w:color="auto"/>
                                    <w:left w:val="none" w:sz="0" w:space="0" w:color="auto"/>
                                    <w:bottom w:val="none" w:sz="0" w:space="0" w:color="auto"/>
                                    <w:right w:val="none" w:sz="0" w:space="0" w:color="auto"/>
                                  </w:divBdr>
                                  <w:divsChild>
                                    <w:div w:id="207886400">
                                      <w:marLeft w:val="0"/>
                                      <w:marRight w:val="0"/>
                                      <w:marTop w:val="0"/>
                                      <w:marBottom w:val="0"/>
                                      <w:divBdr>
                                        <w:top w:val="none" w:sz="0" w:space="0" w:color="auto"/>
                                        <w:left w:val="none" w:sz="0" w:space="0" w:color="auto"/>
                                        <w:bottom w:val="none" w:sz="0" w:space="0" w:color="auto"/>
                                        <w:right w:val="none" w:sz="0" w:space="0" w:color="auto"/>
                                      </w:divBdr>
                                      <w:divsChild>
                                        <w:div w:id="561333660">
                                          <w:marLeft w:val="0"/>
                                          <w:marRight w:val="0"/>
                                          <w:marTop w:val="0"/>
                                          <w:marBottom w:val="0"/>
                                          <w:divBdr>
                                            <w:top w:val="none" w:sz="0" w:space="0" w:color="auto"/>
                                            <w:left w:val="none" w:sz="0" w:space="0" w:color="auto"/>
                                            <w:bottom w:val="none" w:sz="0" w:space="0" w:color="auto"/>
                                            <w:right w:val="none" w:sz="0" w:space="0" w:color="auto"/>
                                          </w:divBdr>
                                          <w:divsChild>
                                            <w:div w:id="174228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4154564">
      <w:bodyDiv w:val="1"/>
      <w:marLeft w:val="0"/>
      <w:marRight w:val="0"/>
      <w:marTop w:val="0"/>
      <w:marBottom w:val="0"/>
      <w:divBdr>
        <w:top w:val="none" w:sz="0" w:space="0" w:color="auto"/>
        <w:left w:val="none" w:sz="0" w:space="0" w:color="auto"/>
        <w:bottom w:val="none" w:sz="0" w:space="0" w:color="auto"/>
        <w:right w:val="none" w:sz="0" w:space="0" w:color="auto"/>
      </w:divBdr>
      <w:divsChild>
        <w:div w:id="645400132">
          <w:marLeft w:val="0"/>
          <w:marRight w:val="0"/>
          <w:marTop w:val="0"/>
          <w:marBottom w:val="0"/>
          <w:divBdr>
            <w:top w:val="none" w:sz="0" w:space="0" w:color="auto"/>
            <w:left w:val="none" w:sz="0" w:space="0" w:color="auto"/>
            <w:bottom w:val="none" w:sz="0" w:space="0" w:color="auto"/>
            <w:right w:val="none" w:sz="0" w:space="0" w:color="auto"/>
          </w:divBdr>
          <w:divsChild>
            <w:div w:id="1956715613">
              <w:marLeft w:val="0"/>
              <w:marRight w:val="0"/>
              <w:marTop w:val="0"/>
              <w:marBottom w:val="0"/>
              <w:divBdr>
                <w:top w:val="none" w:sz="0" w:space="0" w:color="auto"/>
                <w:left w:val="none" w:sz="0" w:space="0" w:color="auto"/>
                <w:bottom w:val="none" w:sz="0" w:space="0" w:color="auto"/>
                <w:right w:val="none" w:sz="0" w:space="0" w:color="auto"/>
              </w:divBdr>
              <w:divsChild>
                <w:div w:id="271400400">
                  <w:marLeft w:val="0"/>
                  <w:marRight w:val="0"/>
                  <w:marTop w:val="0"/>
                  <w:marBottom w:val="0"/>
                  <w:divBdr>
                    <w:top w:val="none" w:sz="0" w:space="0" w:color="auto"/>
                    <w:left w:val="none" w:sz="0" w:space="0" w:color="auto"/>
                    <w:bottom w:val="none" w:sz="0" w:space="0" w:color="auto"/>
                    <w:right w:val="none" w:sz="0" w:space="0" w:color="auto"/>
                  </w:divBdr>
                  <w:divsChild>
                    <w:div w:id="112095854">
                      <w:marLeft w:val="0"/>
                      <w:marRight w:val="0"/>
                      <w:marTop w:val="0"/>
                      <w:marBottom w:val="0"/>
                      <w:divBdr>
                        <w:top w:val="none" w:sz="0" w:space="0" w:color="auto"/>
                        <w:left w:val="none" w:sz="0" w:space="0" w:color="auto"/>
                        <w:bottom w:val="none" w:sz="0" w:space="0" w:color="auto"/>
                        <w:right w:val="none" w:sz="0" w:space="0" w:color="auto"/>
                      </w:divBdr>
                      <w:divsChild>
                        <w:div w:id="1945376526">
                          <w:marLeft w:val="0"/>
                          <w:marRight w:val="0"/>
                          <w:marTop w:val="0"/>
                          <w:marBottom w:val="0"/>
                          <w:divBdr>
                            <w:top w:val="none" w:sz="0" w:space="0" w:color="auto"/>
                            <w:left w:val="none" w:sz="0" w:space="0" w:color="auto"/>
                            <w:bottom w:val="none" w:sz="0" w:space="0" w:color="auto"/>
                            <w:right w:val="none" w:sz="0" w:space="0" w:color="auto"/>
                          </w:divBdr>
                          <w:divsChild>
                            <w:div w:id="796217299">
                              <w:marLeft w:val="0"/>
                              <w:marRight w:val="0"/>
                              <w:marTop w:val="0"/>
                              <w:marBottom w:val="0"/>
                              <w:divBdr>
                                <w:top w:val="none" w:sz="0" w:space="0" w:color="auto"/>
                                <w:left w:val="none" w:sz="0" w:space="0" w:color="auto"/>
                                <w:bottom w:val="none" w:sz="0" w:space="0" w:color="auto"/>
                                <w:right w:val="none" w:sz="0" w:space="0" w:color="auto"/>
                              </w:divBdr>
                              <w:divsChild>
                                <w:div w:id="1939485434">
                                  <w:marLeft w:val="0"/>
                                  <w:marRight w:val="0"/>
                                  <w:marTop w:val="0"/>
                                  <w:marBottom w:val="0"/>
                                  <w:divBdr>
                                    <w:top w:val="none" w:sz="0" w:space="0" w:color="auto"/>
                                    <w:left w:val="none" w:sz="0" w:space="0" w:color="auto"/>
                                    <w:bottom w:val="none" w:sz="0" w:space="0" w:color="auto"/>
                                    <w:right w:val="none" w:sz="0" w:space="0" w:color="auto"/>
                                  </w:divBdr>
                                  <w:divsChild>
                                    <w:div w:id="1776511907">
                                      <w:marLeft w:val="0"/>
                                      <w:marRight w:val="0"/>
                                      <w:marTop w:val="0"/>
                                      <w:marBottom w:val="0"/>
                                      <w:divBdr>
                                        <w:top w:val="none" w:sz="0" w:space="0" w:color="auto"/>
                                        <w:left w:val="none" w:sz="0" w:space="0" w:color="auto"/>
                                        <w:bottom w:val="none" w:sz="0" w:space="0" w:color="auto"/>
                                        <w:right w:val="none" w:sz="0" w:space="0" w:color="auto"/>
                                      </w:divBdr>
                                      <w:divsChild>
                                        <w:div w:id="1898126304">
                                          <w:marLeft w:val="0"/>
                                          <w:marRight w:val="0"/>
                                          <w:marTop w:val="0"/>
                                          <w:marBottom w:val="0"/>
                                          <w:divBdr>
                                            <w:top w:val="none" w:sz="0" w:space="0" w:color="auto"/>
                                            <w:left w:val="none" w:sz="0" w:space="0" w:color="auto"/>
                                            <w:bottom w:val="none" w:sz="0" w:space="0" w:color="auto"/>
                                            <w:right w:val="none" w:sz="0" w:space="0" w:color="auto"/>
                                          </w:divBdr>
                                          <w:divsChild>
                                            <w:div w:id="74600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2673323">
      <w:bodyDiv w:val="1"/>
      <w:marLeft w:val="0"/>
      <w:marRight w:val="0"/>
      <w:marTop w:val="0"/>
      <w:marBottom w:val="0"/>
      <w:divBdr>
        <w:top w:val="none" w:sz="0" w:space="0" w:color="auto"/>
        <w:left w:val="none" w:sz="0" w:space="0" w:color="auto"/>
        <w:bottom w:val="none" w:sz="0" w:space="0" w:color="auto"/>
        <w:right w:val="none" w:sz="0" w:space="0" w:color="auto"/>
      </w:divBdr>
      <w:divsChild>
        <w:div w:id="2030141121">
          <w:marLeft w:val="0"/>
          <w:marRight w:val="0"/>
          <w:marTop w:val="0"/>
          <w:marBottom w:val="0"/>
          <w:divBdr>
            <w:top w:val="none" w:sz="0" w:space="0" w:color="auto"/>
            <w:left w:val="none" w:sz="0" w:space="0" w:color="auto"/>
            <w:bottom w:val="none" w:sz="0" w:space="0" w:color="auto"/>
            <w:right w:val="none" w:sz="0" w:space="0" w:color="auto"/>
          </w:divBdr>
          <w:divsChild>
            <w:div w:id="519779518">
              <w:marLeft w:val="0"/>
              <w:marRight w:val="0"/>
              <w:marTop w:val="0"/>
              <w:marBottom w:val="0"/>
              <w:divBdr>
                <w:top w:val="none" w:sz="0" w:space="0" w:color="auto"/>
                <w:left w:val="none" w:sz="0" w:space="0" w:color="auto"/>
                <w:bottom w:val="none" w:sz="0" w:space="0" w:color="auto"/>
                <w:right w:val="none" w:sz="0" w:space="0" w:color="auto"/>
              </w:divBdr>
              <w:divsChild>
                <w:div w:id="1595168621">
                  <w:marLeft w:val="0"/>
                  <w:marRight w:val="0"/>
                  <w:marTop w:val="0"/>
                  <w:marBottom w:val="0"/>
                  <w:divBdr>
                    <w:top w:val="none" w:sz="0" w:space="0" w:color="auto"/>
                    <w:left w:val="none" w:sz="0" w:space="0" w:color="auto"/>
                    <w:bottom w:val="none" w:sz="0" w:space="0" w:color="auto"/>
                    <w:right w:val="none" w:sz="0" w:space="0" w:color="auto"/>
                  </w:divBdr>
                  <w:divsChild>
                    <w:div w:id="1564750110">
                      <w:marLeft w:val="0"/>
                      <w:marRight w:val="0"/>
                      <w:marTop w:val="0"/>
                      <w:marBottom w:val="0"/>
                      <w:divBdr>
                        <w:top w:val="none" w:sz="0" w:space="0" w:color="auto"/>
                        <w:left w:val="none" w:sz="0" w:space="0" w:color="auto"/>
                        <w:bottom w:val="none" w:sz="0" w:space="0" w:color="auto"/>
                        <w:right w:val="none" w:sz="0" w:space="0" w:color="auto"/>
                      </w:divBdr>
                      <w:divsChild>
                        <w:div w:id="1468089831">
                          <w:marLeft w:val="0"/>
                          <w:marRight w:val="0"/>
                          <w:marTop w:val="0"/>
                          <w:marBottom w:val="0"/>
                          <w:divBdr>
                            <w:top w:val="none" w:sz="0" w:space="0" w:color="auto"/>
                            <w:left w:val="none" w:sz="0" w:space="0" w:color="auto"/>
                            <w:bottom w:val="none" w:sz="0" w:space="0" w:color="auto"/>
                            <w:right w:val="none" w:sz="0" w:space="0" w:color="auto"/>
                          </w:divBdr>
                          <w:divsChild>
                            <w:div w:id="590550477">
                              <w:marLeft w:val="0"/>
                              <w:marRight w:val="0"/>
                              <w:marTop w:val="0"/>
                              <w:marBottom w:val="0"/>
                              <w:divBdr>
                                <w:top w:val="none" w:sz="0" w:space="0" w:color="auto"/>
                                <w:left w:val="none" w:sz="0" w:space="0" w:color="auto"/>
                                <w:bottom w:val="none" w:sz="0" w:space="0" w:color="auto"/>
                                <w:right w:val="none" w:sz="0" w:space="0" w:color="auto"/>
                              </w:divBdr>
                              <w:divsChild>
                                <w:div w:id="272715636">
                                  <w:marLeft w:val="0"/>
                                  <w:marRight w:val="0"/>
                                  <w:marTop w:val="0"/>
                                  <w:marBottom w:val="0"/>
                                  <w:divBdr>
                                    <w:top w:val="none" w:sz="0" w:space="0" w:color="auto"/>
                                    <w:left w:val="none" w:sz="0" w:space="0" w:color="auto"/>
                                    <w:bottom w:val="none" w:sz="0" w:space="0" w:color="auto"/>
                                    <w:right w:val="none" w:sz="0" w:space="0" w:color="auto"/>
                                  </w:divBdr>
                                  <w:divsChild>
                                    <w:div w:id="717977926">
                                      <w:marLeft w:val="0"/>
                                      <w:marRight w:val="0"/>
                                      <w:marTop w:val="0"/>
                                      <w:marBottom w:val="0"/>
                                      <w:divBdr>
                                        <w:top w:val="none" w:sz="0" w:space="0" w:color="auto"/>
                                        <w:left w:val="none" w:sz="0" w:space="0" w:color="auto"/>
                                        <w:bottom w:val="none" w:sz="0" w:space="0" w:color="auto"/>
                                        <w:right w:val="none" w:sz="0" w:space="0" w:color="auto"/>
                                      </w:divBdr>
                                      <w:divsChild>
                                        <w:div w:id="1815291614">
                                          <w:marLeft w:val="0"/>
                                          <w:marRight w:val="0"/>
                                          <w:marTop w:val="0"/>
                                          <w:marBottom w:val="0"/>
                                          <w:divBdr>
                                            <w:top w:val="none" w:sz="0" w:space="0" w:color="auto"/>
                                            <w:left w:val="none" w:sz="0" w:space="0" w:color="auto"/>
                                            <w:bottom w:val="none" w:sz="0" w:space="0" w:color="auto"/>
                                            <w:right w:val="none" w:sz="0" w:space="0" w:color="auto"/>
                                          </w:divBdr>
                                          <w:divsChild>
                                            <w:div w:id="490298070">
                                              <w:marLeft w:val="0"/>
                                              <w:marRight w:val="0"/>
                                              <w:marTop w:val="0"/>
                                              <w:marBottom w:val="0"/>
                                              <w:divBdr>
                                                <w:top w:val="none" w:sz="0" w:space="0" w:color="auto"/>
                                                <w:left w:val="none" w:sz="0" w:space="0" w:color="auto"/>
                                                <w:bottom w:val="none" w:sz="0" w:space="0" w:color="auto"/>
                                                <w:right w:val="none" w:sz="0" w:space="0" w:color="auto"/>
                                              </w:divBdr>
                                              <w:divsChild>
                                                <w:div w:id="1586064903">
                                                  <w:marLeft w:val="0"/>
                                                  <w:marRight w:val="0"/>
                                                  <w:marTop w:val="0"/>
                                                  <w:marBottom w:val="0"/>
                                                  <w:divBdr>
                                                    <w:top w:val="none" w:sz="0" w:space="0" w:color="auto"/>
                                                    <w:left w:val="none" w:sz="0" w:space="0" w:color="auto"/>
                                                    <w:bottom w:val="none" w:sz="0" w:space="0" w:color="auto"/>
                                                    <w:right w:val="none" w:sz="0" w:space="0" w:color="auto"/>
                                                  </w:divBdr>
                                                  <w:divsChild>
                                                    <w:div w:id="2005477261">
                                                      <w:marLeft w:val="0"/>
                                                      <w:marRight w:val="0"/>
                                                      <w:marTop w:val="0"/>
                                                      <w:marBottom w:val="0"/>
                                                      <w:divBdr>
                                                        <w:top w:val="none" w:sz="0" w:space="0" w:color="auto"/>
                                                        <w:left w:val="none" w:sz="0" w:space="0" w:color="auto"/>
                                                        <w:bottom w:val="none" w:sz="0" w:space="0" w:color="auto"/>
                                                        <w:right w:val="none" w:sz="0" w:space="0" w:color="auto"/>
                                                      </w:divBdr>
                                                      <w:divsChild>
                                                        <w:div w:id="1989433834">
                                                          <w:marLeft w:val="0"/>
                                                          <w:marRight w:val="0"/>
                                                          <w:marTop w:val="0"/>
                                                          <w:marBottom w:val="0"/>
                                                          <w:divBdr>
                                                            <w:top w:val="none" w:sz="0" w:space="0" w:color="auto"/>
                                                            <w:left w:val="none" w:sz="0" w:space="0" w:color="auto"/>
                                                            <w:bottom w:val="none" w:sz="0" w:space="0" w:color="auto"/>
                                                            <w:right w:val="none" w:sz="0" w:space="0" w:color="auto"/>
                                                          </w:divBdr>
                                                          <w:divsChild>
                                                            <w:div w:id="160877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3479533">
      <w:bodyDiv w:val="1"/>
      <w:marLeft w:val="0"/>
      <w:marRight w:val="0"/>
      <w:marTop w:val="0"/>
      <w:marBottom w:val="0"/>
      <w:divBdr>
        <w:top w:val="none" w:sz="0" w:space="0" w:color="auto"/>
        <w:left w:val="none" w:sz="0" w:space="0" w:color="auto"/>
        <w:bottom w:val="none" w:sz="0" w:space="0" w:color="auto"/>
        <w:right w:val="none" w:sz="0" w:space="0" w:color="auto"/>
      </w:divBdr>
    </w:div>
    <w:div w:id="1873111093">
      <w:bodyDiv w:val="1"/>
      <w:marLeft w:val="0"/>
      <w:marRight w:val="0"/>
      <w:marTop w:val="0"/>
      <w:marBottom w:val="0"/>
      <w:divBdr>
        <w:top w:val="none" w:sz="0" w:space="0" w:color="auto"/>
        <w:left w:val="none" w:sz="0" w:space="0" w:color="auto"/>
        <w:bottom w:val="none" w:sz="0" w:space="0" w:color="auto"/>
        <w:right w:val="none" w:sz="0" w:space="0" w:color="auto"/>
      </w:divBdr>
    </w:div>
    <w:div w:id="1909460500">
      <w:bodyDiv w:val="1"/>
      <w:marLeft w:val="0"/>
      <w:marRight w:val="0"/>
      <w:marTop w:val="0"/>
      <w:marBottom w:val="0"/>
      <w:divBdr>
        <w:top w:val="none" w:sz="0" w:space="0" w:color="auto"/>
        <w:left w:val="none" w:sz="0" w:space="0" w:color="auto"/>
        <w:bottom w:val="none" w:sz="0" w:space="0" w:color="auto"/>
        <w:right w:val="none" w:sz="0" w:space="0" w:color="auto"/>
      </w:divBdr>
    </w:div>
    <w:div w:id="1934901431">
      <w:bodyDiv w:val="1"/>
      <w:marLeft w:val="0"/>
      <w:marRight w:val="0"/>
      <w:marTop w:val="0"/>
      <w:marBottom w:val="0"/>
      <w:divBdr>
        <w:top w:val="none" w:sz="0" w:space="0" w:color="auto"/>
        <w:left w:val="none" w:sz="0" w:space="0" w:color="auto"/>
        <w:bottom w:val="none" w:sz="0" w:space="0" w:color="auto"/>
        <w:right w:val="none" w:sz="0" w:space="0" w:color="auto"/>
      </w:divBdr>
    </w:div>
    <w:div w:id="1999571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mise.gov.it/index.php/it/per-i-media/notizie/2039474-italia-cina-di-maio-firma-tre-memorandum-d-intesa-su-belt-and-road-initiative-e-commerce-e-startup"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F206E-66B8-43D9-9F4B-20E228227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23099</Words>
  <Characters>131666</Characters>
  <Application>Microsoft Office Word</Application>
  <DocSecurity>0</DocSecurity>
  <Lines>1097</Lines>
  <Paragraphs>308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Ministero delle Infrastrutture e dei Trasporti</Company>
  <LinksUpToDate>false</LinksUpToDate>
  <CharactersWithSpaces>154457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Arianna</dc:creator>
  <cp:lastModifiedBy>Zacchi Giovanni</cp:lastModifiedBy>
  <cp:revision>2</cp:revision>
  <cp:lastPrinted>2020-05-21T13:00:00Z</cp:lastPrinted>
  <dcterms:created xsi:type="dcterms:W3CDTF">2021-07-14T10:43:00Z</dcterms:created>
  <dcterms:modified xsi:type="dcterms:W3CDTF">2021-07-14T10:43:00Z</dcterms:modified>
</cp:coreProperties>
</file>